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346D224" w14:textId="77777777" w:rsidR="00054C38" w:rsidRDefault="00054C38" w:rsidP="00054C38">
      <w:pPr>
        <w:rPr>
          <w:rFonts w:ascii="Book Antiqua" w:hAnsi="Book Antiqua"/>
          <w:b/>
          <w:iCs/>
          <w:sz w:val="22"/>
          <w:szCs w:val="22"/>
        </w:rPr>
      </w:pPr>
    </w:p>
    <w:p w14:paraId="2B624252" w14:textId="77777777" w:rsidR="00054C38" w:rsidRDefault="00054C38" w:rsidP="00054C38">
      <w:pPr>
        <w:rPr>
          <w:rFonts w:ascii="Book Antiqua" w:hAnsi="Book Antiqua"/>
          <w:b/>
          <w:iCs/>
          <w:sz w:val="22"/>
          <w:szCs w:val="22"/>
        </w:rPr>
      </w:pPr>
    </w:p>
    <w:p w14:paraId="048F9B3D" w14:textId="77777777" w:rsidR="00054C38" w:rsidRDefault="00054C38" w:rsidP="00054C38">
      <w:pPr>
        <w:rPr>
          <w:rFonts w:ascii="Book Antiqua" w:hAnsi="Book Antiqua"/>
          <w:b/>
          <w:iCs/>
          <w:sz w:val="22"/>
          <w:szCs w:val="22"/>
        </w:rPr>
      </w:pPr>
    </w:p>
    <w:p w14:paraId="6D11A533" w14:textId="77777777" w:rsidR="00054C38" w:rsidRDefault="00054C38" w:rsidP="00054C38">
      <w:pPr>
        <w:rPr>
          <w:rFonts w:ascii="Book Antiqua" w:hAnsi="Book Antiqua"/>
          <w:b/>
          <w:iCs/>
          <w:sz w:val="22"/>
          <w:szCs w:val="22"/>
        </w:rPr>
      </w:pPr>
    </w:p>
    <w:p w14:paraId="41FA6EBD" w14:textId="77777777" w:rsidR="00054C38" w:rsidRDefault="00054C38" w:rsidP="00054C38">
      <w:pPr>
        <w:rPr>
          <w:rFonts w:ascii="Book Antiqua" w:hAnsi="Book Antiqua"/>
          <w:b/>
          <w:iCs/>
          <w:sz w:val="22"/>
          <w:szCs w:val="22"/>
        </w:rPr>
      </w:pPr>
    </w:p>
    <w:p w14:paraId="58DDB563" w14:textId="77777777" w:rsidR="00054C38" w:rsidRDefault="00054C38" w:rsidP="00054C38">
      <w:pPr>
        <w:rPr>
          <w:rFonts w:ascii="Book Antiqua" w:hAnsi="Book Antiqua"/>
          <w:b/>
          <w:iCs/>
          <w:sz w:val="22"/>
          <w:szCs w:val="22"/>
        </w:rPr>
      </w:pPr>
    </w:p>
    <w:p w14:paraId="0FFC7F9B" w14:textId="77777777" w:rsidR="00054C38" w:rsidRDefault="00054C38" w:rsidP="00054C38">
      <w:pPr>
        <w:rPr>
          <w:rFonts w:ascii="Book Antiqua" w:hAnsi="Book Antiqua"/>
          <w:b/>
          <w:iCs/>
          <w:sz w:val="22"/>
          <w:szCs w:val="22"/>
        </w:rPr>
      </w:pPr>
    </w:p>
    <w:p w14:paraId="05C4910C" w14:textId="77777777" w:rsidR="00054C38" w:rsidRDefault="00054C38" w:rsidP="00054C38">
      <w:pPr>
        <w:rPr>
          <w:rFonts w:ascii="Book Antiqua" w:hAnsi="Book Antiqua"/>
          <w:b/>
          <w:iCs/>
          <w:sz w:val="22"/>
          <w:szCs w:val="22"/>
        </w:rPr>
      </w:pPr>
    </w:p>
    <w:p w14:paraId="6B9F800F" w14:textId="77777777" w:rsidR="00054C38" w:rsidRDefault="00054C38" w:rsidP="00054C38">
      <w:pPr>
        <w:rPr>
          <w:rFonts w:ascii="Book Antiqua" w:hAnsi="Book Antiqua"/>
          <w:b/>
          <w:iCs/>
          <w:sz w:val="22"/>
          <w:szCs w:val="22"/>
        </w:rPr>
      </w:pPr>
    </w:p>
    <w:p w14:paraId="720ABAC3" w14:textId="77777777" w:rsidR="00054C38" w:rsidRDefault="00054C38" w:rsidP="00054C38">
      <w:pPr>
        <w:rPr>
          <w:rFonts w:ascii="Book Antiqua" w:hAnsi="Book Antiqua"/>
          <w:b/>
          <w:iCs/>
          <w:sz w:val="22"/>
          <w:szCs w:val="22"/>
        </w:rPr>
      </w:pPr>
    </w:p>
    <w:p w14:paraId="7A2050BC" w14:textId="77777777" w:rsidR="00054C38" w:rsidRDefault="00054C38" w:rsidP="00054C38">
      <w:pPr>
        <w:rPr>
          <w:rFonts w:ascii="Book Antiqua" w:hAnsi="Book Antiqua"/>
          <w:b/>
          <w:iCs/>
          <w:sz w:val="22"/>
          <w:szCs w:val="22"/>
        </w:rPr>
      </w:pPr>
    </w:p>
    <w:p w14:paraId="05C95848" w14:textId="77777777" w:rsidR="00054C38" w:rsidRDefault="00054C38" w:rsidP="00054C38">
      <w:pPr>
        <w:rPr>
          <w:rFonts w:ascii="Book Antiqua" w:hAnsi="Book Antiqua"/>
          <w:b/>
          <w:iCs/>
          <w:sz w:val="22"/>
          <w:szCs w:val="22"/>
        </w:rPr>
      </w:pPr>
    </w:p>
    <w:p w14:paraId="4691CD4F" w14:textId="77777777" w:rsidR="00054C38" w:rsidRDefault="00054C38" w:rsidP="00054C38">
      <w:pPr>
        <w:rPr>
          <w:rFonts w:ascii="Book Antiqua" w:hAnsi="Book Antiqua"/>
          <w:b/>
          <w:iCs/>
          <w:sz w:val="22"/>
          <w:szCs w:val="22"/>
        </w:rPr>
      </w:pPr>
    </w:p>
    <w:p w14:paraId="1F7C28BE" w14:textId="77777777" w:rsidR="00054C38" w:rsidRDefault="00054C38" w:rsidP="00054C38">
      <w:pPr>
        <w:rPr>
          <w:rFonts w:ascii="Book Antiqua" w:hAnsi="Book Antiqua"/>
          <w:b/>
          <w:iCs/>
          <w:sz w:val="22"/>
          <w:szCs w:val="22"/>
        </w:rPr>
      </w:pPr>
    </w:p>
    <w:p w14:paraId="5385D74B" w14:textId="77777777" w:rsidR="00054C38" w:rsidRDefault="00054C38" w:rsidP="00054C38">
      <w:pPr>
        <w:rPr>
          <w:rFonts w:ascii="Book Antiqua" w:hAnsi="Book Antiqua"/>
          <w:b/>
          <w:iCs/>
          <w:sz w:val="22"/>
          <w:szCs w:val="22"/>
        </w:rPr>
      </w:pPr>
    </w:p>
    <w:p w14:paraId="57275854" w14:textId="77777777" w:rsidR="00054C38" w:rsidRDefault="00054C38" w:rsidP="00054C38">
      <w:pPr>
        <w:rPr>
          <w:rFonts w:ascii="Book Antiqua" w:hAnsi="Book Antiqua"/>
          <w:b/>
          <w:iCs/>
          <w:sz w:val="22"/>
          <w:szCs w:val="22"/>
        </w:rPr>
      </w:pPr>
    </w:p>
    <w:p w14:paraId="56003692" w14:textId="77777777" w:rsidR="00054C38" w:rsidRDefault="00054C38" w:rsidP="00054C38">
      <w:pPr>
        <w:rPr>
          <w:rFonts w:ascii="Book Antiqua" w:hAnsi="Book Antiqua"/>
          <w:b/>
          <w:iCs/>
          <w:sz w:val="22"/>
          <w:szCs w:val="22"/>
        </w:rPr>
      </w:pPr>
    </w:p>
    <w:p w14:paraId="6F8DFE62" w14:textId="77777777" w:rsidR="00054C38" w:rsidRDefault="00054C38" w:rsidP="00054C38">
      <w:pPr>
        <w:rPr>
          <w:rFonts w:ascii="Book Antiqua" w:hAnsi="Book Antiqua"/>
          <w:b/>
          <w:iCs/>
          <w:sz w:val="22"/>
          <w:szCs w:val="22"/>
        </w:rPr>
      </w:pPr>
    </w:p>
    <w:p w14:paraId="1847EC34" w14:textId="77777777" w:rsidR="00054C38" w:rsidRDefault="00054C38" w:rsidP="00054C38">
      <w:pPr>
        <w:rPr>
          <w:rFonts w:ascii="Book Antiqua" w:hAnsi="Book Antiqua"/>
          <w:b/>
          <w:iCs/>
          <w:sz w:val="22"/>
          <w:szCs w:val="22"/>
        </w:rPr>
      </w:pPr>
    </w:p>
    <w:p w14:paraId="50A273C9" w14:textId="77777777" w:rsidR="00054C38" w:rsidRPr="00681364" w:rsidRDefault="00054C38" w:rsidP="00054C38">
      <w:pPr>
        <w:spacing w:line="360" w:lineRule="auto"/>
        <w:jc w:val="center"/>
        <w:rPr>
          <w:rFonts w:ascii="Book Antiqua" w:hAnsi="Book Antiqua"/>
          <w:b/>
          <w:bCs/>
          <w:iCs/>
          <w:sz w:val="32"/>
          <w:szCs w:val="22"/>
        </w:rPr>
      </w:pPr>
      <w:r w:rsidRPr="00681364">
        <w:rPr>
          <w:rFonts w:ascii="Book Antiqua" w:hAnsi="Book Antiqua"/>
          <w:b/>
          <w:bCs/>
          <w:iCs/>
          <w:sz w:val="32"/>
          <w:szCs w:val="22"/>
        </w:rPr>
        <w:t>ESTRATEGIA PARA MEJORA DE LA EJECUCIÓN Y CALIDAD DEL GASTO PÚBLICO</w:t>
      </w:r>
    </w:p>
    <w:p w14:paraId="0340D9B6" w14:textId="77777777" w:rsidR="00054C38" w:rsidRPr="00681364" w:rsidRDefault="00054C38" w:rsidP="00054C38">
      <w:pPr>
        <w:spacing w:line="360" w:lineRule="auto"/>
        <w:jc w:val="center"/>
        <w:rPr>
          <w:rFonts w:ascii="Book Antiqua" w:hAnsi="Book Antiqua"/>
          <w:b/>
          <w:bCs/>
          <w:iCs/>
          <w:sz w:val="32"/>
          <w:szCs w:val="22"/>
        </w:rPr>
      </w:pPr>
      <w:r w:rsidRPr="00681364">
        <w:rPr>
          <w:rFonts w:ascii="Book Antiqua" w:hAnsi="Book Antiqua"/>
          <w:b/>
          <w:bCs/>
          <w:iCs/>
          <w:sz w:val="32"/>
          <w:szCs w:val="22"/>
        </w:rPr>
        <w:t xml:space="preserve">(ARTÍCULO </w:t>
      </w:r>
      <w:r>
        <w:rPr>
          <w:rFonts w:ascii="Book Antiqua" w:hAnsi="Book Antiqua"/>
          <w:b/>
          <w:bCs/>
          <w:iCs/>
          <w:sz w:val="32"/>
          <w:szCs w:val="22"/>
        </w:rPr>
        <w:t>21</w:t>
      </w:r>
      <w:r w:rsidRPr="00681364">
        <w:rPr>
          <w:rFonts w:ascii="Book Antiqua" w:hAnsi="Book Antiqua"/>
          <w:b/>
          <w:bCs/>
          <w:iCs/>
          <w:sz w:val="32"/>
          <w:szCs w:val="22"/>
        </w:rPr>
        <w:t xml:space="preserve">, DECRETO </w:t>
      </w:r>
      <w:r>
        <w:rPr>
          <w:rFonts w:ascii="Book Antiqua" w:hAnsi="Book Antiqua"/>
          <w:b/>
          <w:bCs/>
          <w:iCs/>
          <w:sz w:val="32"/>
          <w:szCs w:val="22"/>
        </w:rPr>
        <w:t>54</w:t>
      </w:r>
      <w:r w:rsidRPr="00681364">
        <w:rPr>
          <w:rFonts w:ascii="Book Antiqua" w:hAnsi="Book Antiqua"/>
          <w:b/>
          <w:bCs/>
          <w:iCs/>
          <w:sz w:val="32"/>
          <w:szCs w:val="22"/>
        </w:rPr>
        <w:t>-202</w:t>
      </w:r>
      <w:r>
        <w:rPr>
          <w:rFonts w:ascii="Book Antiqua" w:hAnsi="Book Antiqua"/>
          <w:b/>
          <w:bCs/>
          <w:iCs/>
          <w:sz w:val="32"/>
          <w:szCs w:val="22"/>
        </w:rPr>
        <w:t>2</w:t>
      </w:r>
      <w:r w:rsidRPr="00681364">
        <w:rPr>
          <w:rFonts w:ascii="Book Antiqua" w:hAnsi="Book Antiqua"/>
          <w:b/>
          <w:bCs/>
          <w:iCs/>
          <w:sz w:val="32"/>
          <w:szCs w:val="22"/>
        </w:rPr>
        <w:t>)</w:t>
      </w:r>
    </w:p>
    <w:p w14:paraId="3C172140" w14:textId="77777777" w:rsidR="00054C38" w:rsidRDefault="00054C38" w:rsidP="00054C38">
      <w:pPr>
        <w:rPr>
          <w:rFonts w:ascii="Book Antiqua" w:hAnsi="Book Antiqua"/>
          <w:b/>
          <w:iCs/>
          <w:sz w:val="22"/>
          <w:szCs w:val="22"/>
        </w:rPr>
      </w:pPr>
    </w:p>
    <w:p w14:paraId="251655F7" w14:textId="77777777" w:rsidR="00054C38" w:rsidRDefault="00054C38" w:rsidP="00054C38">
      <w:pPr>
        <w:rPr>
          <w:rFonts w:ascii="Book Antiqua" w:hAnsi="Book Antiqua"/>
          <w:b/>
          <w:iCs/>
          <w:sz w:val="22"/>
          <w:szCs w:val="22"/>
        </w:rPr>
      </w:pPr>
    </w:p>
    <w:p w14:paraId="64B1AE40" w14:textId="77777777" w:rsidR="00054C38" w:rsidRDefault="00054C38" w:rsidP="00054C38">
      <w:pPr>
        <w:rPr>
          <w:rFonts w:ascii="Book Antiqua" w:hAnsi="Book Antiqua"/>
          <w:b/>
          <w:iCs/>
          <w:sz w:val="22"/>
          <w:szCs w:val="22"/>
        </w:rPr>
      </w:pPr>
    </w:p>
    <w:p w14:paraId="589B5081" w14:textId="77777777" w:rsidR="00054C38" w:rsidRDefault="00054C38" w:rsidP="00054C38">
      <w:pPr>
        <w:rPr>
          <w:rFonts w:ascii="Book Antiqua" w:hAnsi="Book Antiqua"/>
          <w:b/>
          <w:iCs/>
          <w:sz w:val="22"/>
          <w:szCs w:val="22"/>
        </w:rPr>
      </w:pPr>
    </w:p>
    <w:p w14:paraId="2C5766E7" w14:textId="77777777" w:rsidR="00054C38" w:rsidRDefault="00054C38" w:rsidP="00054C38">
      <w:pPr>
        <w:rPr>
          <w:rFonts w:ascii="Book Antiqua" w:hAnsi="Book Antiqua"/>
          <w:b/>
          <w:iCs/>
          <w:sz w:val="22"/>
          <w:szCs w:val="22"/>
        </w:rPr>
      </w:pPr>
    </w:p>
    <w:p w14:paraId="77D13737" w14:textId="77777777" w:rsidR="00054C38" w:rsidRDefault="00054C38" w:rsidP="00054C38">
      <w:pPr>
        <w:rPr>
          <w:rFonts w:ascii="Book Antiqua" w:hAnsi="Book Antiqua"/>
          <w:b/>
          <w:iCs/>
          <w:sz w:val="22"/>
          <w:szCs w:val="22"/>
        </w:rPr>
      </w:pPr>
    </w:p>
    <w:p w14:paraId="292F6539" w14:textId="77777777" w:rsidR="00054C38" w:rsidRDefault="00054C38" w:rsidP="00054C38">
      <w:pPr>
        <w:rPr>
          <w:rFonts w:ascii="Book Antiqua" w:hAnsi="Book Antiqua"/>
          <w:b/>
          <w:iCs/>
          <w:sz w:val="22"/>
          <w:szCs w:val="22"/>
        </w:rPr>
      </w:pPr>
    </w:p>
    <w:p w14:paraId="49677CFE" w14:textId="77777777" w:rsidR="00054C38" w:rsidRDefault="00054C38" w:rsidP="00054C38">
      <w:pPr>
        <w:rPr>
          <w:rFonts w:ascii="Book Antiqua" w:hAnsi="Book Antiqua"/>
          <w:b/>
          <w:iCs/>
          <w:sz w:val="22"/>
          <w:szCs w:val="22"/>
        </w:rPr>
      </w:pPr>
    </w:p>
    <w:p w14:paraId="1A770CEC" w14:textId="77777777" w:rsidR="00054C38" w:rsidRDefault="00054C38" w:rsidP="00054C38">
      <w:pPr>
        <w:rPr>
          <w:rFonts w:ascii="Book Antiqua" w:hAnsi="Book Antiqua"/>
          <w:b/>
          <w:iCs/>
          <w:sz w:val="22"/>
          <w:szCs w:val="22"/>
        </w:rPr>
      </w:pPr>
    </w:p>
    <w:p w14:paraId="3F3FCCF3" w14:textId="77777777" w:rsidR="00054C38" w:rsidRDefault="00054C38" w:rsidP="00054C38">
      <w:pPr>
        <w:rPr>
          <w:rFonts w:ascii="Book Antiqua" w:hAnsi="Book Antiqua"/>
          <w:b/>
          <w:iCs/>
          <w:sz w:val="22"/>
          <w:szCs w:val="22"/>
        </w:rPr>
      </w:pPr>
    </w:p>
    <w:p w14:paraId="44463F1D" w14:textId="77777777" w:rsidR="00054C38" w:rsidRDefault="00054C38" w:rsidP="00054C38">
      <w:pPr>
        <w:rPr>
          <w:rFonts w:ascii="Book Antiqua" w:hAnsi="Book Antiqua"/>
          <w:b/>
          <w:iCs/>
          <w:sz w:val="22"/>
          <w:szCs w:val="22"/>
        </w:rPr>
      </w:pPr>
    </w:p>
    <w:p w14:paraId="737CD78F" w14:textId="77777777" w:rsidR="00054C38" w:rsidRDefault="00054C38" w:rsidP="00054C38">
      <w:pPr>
        <w:rPr>
          <w:rFonts w:ascii="Book Antiqua" w:hAnsi="Book Antiqua"/>
          <w:b/>
          <w:iCs/>
          <w:sz w:val="22"/>
          <w:szCs w:val="22"/>
        </w:rPr>
      </w:pPr>
    </w:p>
    <w:p w14:paraId="4F4A414C" w14:textId="77777777" w:rsidR="00054C38" w:rsidRDefault="00054C38" w:rsidP="00054C38">
      <w:pPr>
        <w:rPr>
          <w:rFonts w:ascii="Book Antiqua" w:hAnsi="Book Antiqua"/>
          <w:b/>
          <w:iCs/>
          <w:sz w:val="22"/>
          <w:szCs w:val="22"/>
        </w:rPr>
      </w:pPr>
    </w:p>
    <w:p w14:paraId="1F105645" w14:textId="77777777" w:rsidR="00054C38" w:rsidRDefault="00054C38" w:rsidP="00054C38">
      <w:pPr>
        <w:rPr>
          <w:rFonts w:ascii="Book Antiqua" w:hAnsi="Book Antiqua"/>
          <w:b/>
          <w:iCs/>
          <w:sz w:val="22"/>
          <w:szCs w:val="22"/>
        </w:rPr>
      </w:pPr>
    </w:p>
    <w:p w14:paraId="7D64761C" w14:textId="77777777" w:rsidR="00054C38" w:rsidRDefault="00054C38" w:rsidP="00054C38">
      <w:pPr>
        <w:rPr>
          <w:rFonts w:ascii="Book Antiqua" w:hAnsi="Book Antiqua"/>
          <w:b/>
          <w:iCs/>
          <w:sz w:val="22"/>
          <w:szCs w:val="22"/>
        </w:rPr>
      </w:pPr>
    </w:p>
    <w:p w14:paraId="26D0841B" w14:textId="77777777" w:rsidR="00054C38" w:rsidRDefault="00054C38" w:rsidP="00054C38">
      <w:pPr>
        <w:rPr>
          <w:rFonts w:ascii="Book Antiqua" w:hAnsi="Book Antiqua"/>
          <w:b/>
          <w:iCs/>
          <w:sz w:val="22"/>
          <w:szCs w:val="22"/>
        </w:rPr>
      </w:pPr>
    </w:p>
    <w:p w14:paraId="57F4382D" w14:textId="77777777" w:rsidR="00054C38" w:rsidRDefault="00054C38" w:rsidP="00054C38">
      <w:pPr>
        <w:rPr>
          <w:rFonts w:ascii="Book Antiqua" w:hAnsi="Book Antiqua"/>
          <w:b/>
          <w:iCs/>
          <w:sz w:val="22"/>
          <w:szCs w:val="22"/>
        </w:rPr>
      </w:pPr>
    </w:p>
    <w:p w14:paraId="7F6F80DF" w14:textId="77777777" w:rsidR="00054C38" w:rsidRDefault="00054C38" w:rsidP="00054C38">
      <w:pPr>
        <w:rPr>
          <w:rFonts w:ascii="Book Antiqua" w:hAnsi="Book Antiqua"/>
          <w:b/>
          <w:iCs/>
          <w:sz w:val="22"/>
          <w:szCs w:val="22"/>
        </w:rPr>
      </w:pPr>
    </w:p>
    <w:p w14:paraId="3DF69947" w14:textId="77777777" w:rsidR="00054C38" w:rsidRDefault="00054C38" w:rsidP="00054C38">
      <w:pPr>
        <w:rPr>
          <w:rFonts w:ascii="Book Antiqua" w:hAnsi="Book Antiqua"/>
          <w:b/>
          <w:iCs/>
          <w:sz w:val="22"/>
          <w:szCs w:val="22"/>
        </w:rPr>
      </w:pPr>
    </w:p>
    <w:p w14:paraId="4C1F1EE7" w14:textId="77777777" w:rsidR="00054C38" w:rsidRDefault="00054C38" w:rsidP="00054C38">
      <w:pPr>
        <w:rPr>
          <w:rFonts w:ascii="Book Antiqua" w:hAnsi="Book Antiqua"/>
          <w:b/>
          <w:iCs/>
          <w:sz w:val="22"/>
          <w:szCs w:val="22"/>
        </w:rPr>
      </w:pPr>
    </w:p>
    <w:p w14:paraId="2689EE72" w14:textId="77777777" w:rsidR="00054C38" w:rsidRDefault="00054C38" w:rsidP="00054C38">
      <w:pPr>
        <w:rPr>
          <w:rFonts w:ascii="Book Antiqua" w:hAnsi="Book Antiqua"/>
          <w:b/>
          <w:iCs/>
          <w:sz w:val="22"/>
          <w:szCs w:val="22"/>
        </w:rPr>
      </w:pPr>
    </w:p>
    <w:p w14:paraId="0A0E7E5D" w14:textId="77777777" w:rsidR="00054C38" w:rsidRDefault="00054C38" w:rsidP="00054C38">
      <w:pPr>
        <w:rPr>
          <w:rFonts w:ascii="Book Antiqua" w:hAnsi="Book Antiqua"/>
          <w:b/>
          <w:iCs/>
          <w:sz w:val="22"/>
          <w:szCs w:val="22"/>
        </w:rPr>
      </w:pPr>
    </w:p>
    <w:p w14:paraId="05879C8C" w14:textId="77777777" w:rsidR="00054C38" w:rsidRDefault="00054C38" w:rsidP="00054C38">
      <w:pPr>
        <w:rPr>
          <w:rFonts w:ascii="Book Antiqua" w:hAnsi="Book Antiqua"/>
          <w:b/>
          <w:iCs/>
          <w:sz w:val="22"/>
          <w:szCs w:val="22"/>
        </w:rPr>
      </w:pPr>
    </w:p>
    <w:p w14:paraId="4E0EFB17" w14:textId="77777777" w:rsidR="00054C38" w:rsidRDefault="00054C38" w:rsidP="00054C38">
      <w:pPr>
        <w:rPr>
          <w:rFonts w:ascii="Book Antiqua" w:hAnsi="Book Antiqua"/>
          <w:b/>
          <w:iCs/>
          <w:sz w:val="22"/>
          <w:szCs w:val="22"/>
        </w:rPr>
      </w:pPr>
    </w:p>
    <w:p w14:paraId="77E44FA5" w14:textId="77777777" w:rsidR="00054C38" w:rsidRDefault="00054C38" w:rsidP="00054C38">
      <w:pPr>
        <w:rPr>
          <w:rFonts w:ascii="Book Antiqua" w:hAnsi="Book Antiqua"/>
          <w:b/>
          <w:iCs/>
          <w:sz w:val="22"/>
          <w:szCs w:val="22"/>
        </w:rPr>
      </w:pPr>
    </w:p>
    <w:p w14:paraId="32B2F94B" w14:textId="77777777" w:rsidR="00054C38" w:rsidRDefault="00054C38" w:rsidP="00054C38">
      <w:pPr>
        <w:rPr>
          <w:rFonts w:ascii="Book Antiqua" w:hAnsi="Book Antiqua"/>
          <w:b/>
          <w:iCs/>
          <w:sz w:val="22"/>
          <w:szCs w:val="22"/>
        </w:rPr>
      </w:pPr>
    </w:p>
    <w:p w14:paraId="3C222A59" w14:textId="77777777" w:rsidR="00054C38" w:rsidRDefault="00054C38" w:rsidP="00054C38">
      <w:pPr>
        <w:rPr>
          <w:rFonts w:ascii="Book Antiqua" w:hAnsi="Book Antiqua"/>
          <w:b/>
          <w:iCs/>
          <w:sz w:val="22"/>
          <w:szCs w:val="22"/>
        </w:rPr>
      </w:pPr>
    </w:p>
    <w:p w14:paraId="1BA8BDE0" w14:textId="77777777" w:rsidR="00054C38" w:rsidRDefault="00054C38" w:rsidP="00054C38">
      <w:pPr>
        <w:rPr>
          <w:rFonts w:ascii="Book Antiqua" w:hAnsi="Book Antiqua"/>
          <w:b/>
          <w:iCs/>
          <w:sz w:val="22"/>
          <w:szCs w:val="22"/>
        </w:rPr>
      </w:pPr>
    </w:p>
    <w:p w14:paraId="29D41671" w14:textId="77777777" w:rsidR="00054C38" w:rsidRDefault="00054C38" w:rsidP="00054C38">
      <w:pPr>
        <w:rPr>
          <w:rFonts w:ascii="Book Antiqua" w:hAnsi="Book Antiqua"/>
          <w:b/>
          <w:iCs/>
          <w:sz w:val="22"/>
          <w:szCs w:val="22"/>
        </w:rPr>
      </w:pPr>
    </w:p>
    <w:p w14:paraId="5F09C217" w14:textId="77777777" w:rsidR="00054C38" w:rsidRDefault="00054C38" w:rsidP="00054C38">
      <w:pPr>
        <w:rPr>
          <w:rFonts w:ascii="Book Antiqua" w:hAnsi="Book Antiqua"/>
          <w:b/>
          <w:iCs/>
          <w:sz w:val="22"/>
          <w:szCs w:val="22"/>
        </w:rPr>
      </w:pPr>
    </w:p>
    <w:sdt>
      <w:sdtPr>
        <w:rPr>
          <w:rFonts w:ascii="Calibri" w:eastAsia="Calibri" w:hAnsi="Calibri" w:cs="Calibri"/>
          <w:color w:val="auto"/>
          <w:sz w:val="24"/>
          <w:szCs w:val="24"/>
          <w:lang w:val="es-ES"/>
        </w:rPr>
        <w:id w:val="-1228764114"/>
        <w:docPartObj>
          <w:docPartGallery w:val="Table of Contents"/>
          <w:docPartUnique/>
        </w:docPartObj>
      </w:sdtPr>
      <w:sdtEndPr>
        <w:rPr>
          <w:b/>
          <w:bCs/>
        </w:rPr>
      </w:sdtEndPr>
      <w:sdtContent>
        <w:p w14:paraId="14EE2BF0" w14:textId="12E8D6AB" w:rsidR="00F86410" w:rsidRDefault="00F86410" w:rsidP="00F86410">
          <w:pPr>
            <w:pStyle w:val="TtuloTDC"/>
            <w:jc w:val="center"/>
            <w:rPr>
              <w:lang w:val="es-ES"/>
            </w:rPr>
          </w:pPr>
          <w:r>
            <w:rPr>
              <w:lang w:val="es-ES"/>
            </w:rPr>
            <w:t>Contenido</w:t>
          </w:r>
        </w:p>
        <w:p w14:paraId="4D4F4F81" w14:textId="77777777" w:rsidR="00F86410" w:rsidRPr="00F86410" w:rsidRDefault="00F86410" w:rsidP="00F86410">
          <w:pPr>
            <w:rPr>
              <w:lang w:val="es-ES"/>
            </w:rPr>
          </w:pPr>
        </w:p>
        <w:p w14:paraId="4EC1D46C" w14:textId="3144F86D" w:rsidR="00F86410" w:rsidRDefault="00F86410">
          <w:pPr>
            <w:pStyle w:val="TDC1"/>
            <w:tabs>
              <w:tab w:val="right" w:leader="dot" w:pos="8828"/>
            </w:tabs>
            <w:rPr>
              <w:rFonts w:asciiTheme="minorHAnsi" w:eastAsiaTheme="minorEastAsia" w:hAnsiTheme="minorHAnsi" w:cstheme="minorBidi"/>
              <w:noProof/>
              <w:kern w:val="2"/>
              <w14:ligatures w14:val="standardContextual"/>
            </w:rPr>
          </w:pPr>
          <w:r>
            <w:fldChar w:fldCharType="begin"/>
          </w:r>
          <w:r>
            <w:instrText xml:space="preserve"> TOC \o "1-3" \h \z \u </w:instrText>
          </w:r>
          <w:r>
            <w:fldChar w:fldCharType="separate"/>
          </w:r>
          <w:hyperlink w:anchor="_Toc161841742" w:history="1">
            <w:r w:rsidRPr="008C1FA7">
              <w:rPr>
                <w:rStyle w:val="Hipervnculo"/>
                <w:rFonts w:ascii="Book Antiqua" w:hAnsi="Book Antiqua"/>
                <w:b/>
                <w:i/>
                <w:noProof/>
              </w:rPr>
              <w:t>Presentación</w:t>
            </w:r>
            <w:r>
              <w:rPr>
                <w:noProof/>
                <w:webHidden/>
              </w:rPr>
              <w:tab/>
            </w:r>
            <w:r>
              <w:rPr>
                <w:noProof/>
                <w:webHidden/>
              </w:rPr>
              <w:fldChar w:fldCharType="begin"/>
            </w:r>
            <w:r>
              <w:rPr>
                <w:noProof/>
                <w:webHidden/>
              </w:rPr>
              <w:instrText xml:space="preserve"> PAGEREF _Toc161841742 \h </w:instrText>
            </w:r>
            <w:r>
              <w:rPr>
                <w:noProof/>
                <w:webHidden/>
              </w:rPr>
            </w:r>
            <w:r>
              <w:rPr>
                <w:noProof/>
                <w:webHidden/>
              </w:rPr>
              <w:fldChar w:fldCharType="separate"/>
            </w:r>
            <w:r w:rsidR="00287171">
              <w:rPr>
                <w:noProof/>
                <w:webHidden/>
              </w:rPr>
              <w:t>3</w:t>
            </w:r>
            <w:r>
              <w:rPr>
                <w:noProof/>
                <w:webHidden/>
              </w:rPr>
              <w:fldChar w:fldCharType="end"/>
            </w:r>
          </w:hyperlink>
        </w:p>
        <w:p w14:paraId="7CFF2319" w14:textId="6AEBBE26" w:rsidR="00F86410" w:rsidRDefault="00000000">
          <w:pPr>
            <w:pStyle w:val="TDC1"/>
            <w:tabs>
              <w:tab w:val="left" w:pos="480"/>
              <w:tab w:val="right" w:leader="dot" w:pos="8828"/>
            </w:tabs>
            <w:rPr>
              <w:rFonts w:asciiTheme="minorHAnsi" w:eastAsiaTheme="minorEastAsia" w:hAnsiTheme="minorHAnsi" w:cstheme="minorBidi"/>
              <w:noProof/>
              <w:kern w:val="2"/>
              <w14:ligatures w14:val="standardContextual"/>
            </w:rPr>
          </w:pPr>
          <w:hyperlink w:anchor="_Toc161841743" w:history="1">
            <w:r w:rsidR="00F86410" w:rsidRPr="008C1FA7">
              <w:rPr>
                <w:rStyle w:val="Hipervnculo"/>
                <w:rFonts w:ascii="Book Antiqua" w:hAnsi="Book Antiqua"/>
                <w:noProof/>
              </w:rPr>
              <w:t>1.</w:t>
            </w:r>
            <w:r w:rsidR="00F86410">
              <w:rPr>
                <w:rFonts w:asciiTheme="minorHAnsi" w:eastAsiaTheme="minorEastAsia" w:hAnsiTheme="minorHAnsi" w:cstheme="minorBidi"/>
                <w:noProof/>
                <w:kern w:val="2"/>
                <w14:ligatures w14:val="standardContextual"/>
              </w:rPr>
              <w:tab/>
            </w:r>
            <w:r w:rsidR="00F86410" w:rsidRPr="008C1FA7">
              <w:rPr>
                <w:rStyle w:val="Hipervnculo"/>
                <w:rFonts w:ascii="Book Antiqua" w:hAnsi="Book Antiqua"/>
                <w:noProof/>
              </w:rPr>
              <w:t>Plan de implementación del Programa 47: Promoción y Desarrollo Integral de la Mujer</w:t>
            </w:r>
            <w:r w:rsidR="00F86410">
              <w:rPr>
                <w:noProof/>
                <w:webHidden/>
              </w:rPr>
              <w:tab/>
            </w:r>
            <w:r w:rsidR="00F86410">
              <w:rPr>
                <w:noProof/>
                <w:webHidden/>
              </w:rPr>
              <w:fldChar w:fldCharType="begin"/>
            </w:r>
            <w:r w:rsidR="00F86410">
              <w:rPr>
                <w:noProof/>
                <w:webHidden/>
              </w:rPr>
              <w:instrText xml:space="preserve"> PAGEREF _Toc161841743 \h </w:instrText>
            </w:r>
            <w:r w:rsidR="00F86410">
              <w:rPr>
                <w:noProof/>
                <w:webHidden/>
              </w:rPr>
            </w:r>
            <w:r w:rsidR="00F86410">
              <w:rPr>
                <w:noProof/>
                <w:webHidden/>
              </w:rPr>
              <w:fldChar w:fldCharType="separate"/>
            </w:r>
            <w:r w:rsidR="00287171">
              <w:rPr>
                <w:noProof/>
                <w:webHidden/>
              </w:rPr>
              <w:t>4</w:t>
            </w:r>
            <w:r w:rsidR="00F86410">
              <w:rPr>
                <w:noProof/>
                <w:webHidden/>
              </w:rPr>
              <w:fldChar w:fldCharType="end"/>
            </w:r>
          </w:hyperlink>
        </w:p>
        <w:p w14:paraId="62F27D8D" w14:textId="73916549" w:rsidR="00F86410" w:rsidRDefault="00000000">
          <w:pPr>
            <w:pStyle w:val="TDC1"/>
            <w:tabs>
              <w:tab w:val="right" w:leader="dot" w:pos="8828"/>
            </w:tabs>
            <w:rPr>
              <w:rFonts w:asciiTheme="minorHAnsi" w:eastAsiaTheme="minorEastAsia" w:hAnsiTheme="minorHAnsi" w:cstheme="minorBidi"/>
              <w:noProof/>
              <w:kern w:val="2"/>
              <w14:ligatures w14:val="standardContextual"/>
            </w:rPr>
          </w:pPr>
          <w:hyperlink w:anchor="_Toc161841744" w:history="1">
            <w:r w:rsidR="00F86410" w:rsidRPr="008C1FA7">
              <w:rPr>
                <w:rStyle w:val="Hipervnculo"/>
                <w:noProof/>
              </w:rPr>
              <w:t xml:space="preserve">2. </w:t>
            </w:r>
            <w:r w:rsidR="00F86410" w:rsidRPr="008C1FA7">
              <w:rPr>
                <w:rStyle w:val="Hipervnculo"/>
                <w:rFonts w:ascii="Book Antiqua" w:hAnsi="Book Antiqua"/>
                <w:bCs/>
                <w:noProof/>
              </w:rPr>
              <w:t>Propuesta de medidas de transparencia y eliminación del gasto superfluo conforme a principios de austeridad y responsabilidad fiscal</w:t>
            </w:r>
            <w:r w:rsidR="00F86410">
              <w:rPr>
                <w:noProof/>
                <w:webHidden/>
              </w:rPr>
              <w:tab/>
            </w:r>
            <w:r w:rsidR="00F86410">
              <w:rPr>
                <w:noProof/>
                <w:webHidden/>
              </w:rPr>
              <w:fldChar w:fldCharType="begin"/>
            </w:r>
            <w:r w:rsidR="00F86410">
              <w:rPr>
                <w:noProof/>
                <w:webHidden/>
              </w:rPr>
              <w:instrText xml:space="preserve"> PAGEREF _Toc161841744 \h </w:instrText>
            </w:r>
            <w:r w:rsidR="00F86410">
              <w:rPr>
                <w:noProof/>
                <w:webHidden/>
              </w:rPr>
            </w:r>
            <w:r w:rsidR="00F86410">
              <w:rPr>
                <w:noProof/>
                <w:webHidden/>
              </w:rPr>
              <w:fldChar w:fldCharType="separate"/>
            </w:r>
            <w:r w:rsidR="00287171">
              <w:rPr>
                <w:noProof/>
                <w:webHidden/>
              </w:rPr>
              <w:t>10</w:t>
            </w:r>
            <w:r w:rsidR="00F86410">
              <w:rPr>
                <w:noProof/>
                <w:webHidden/>
              </w:rPr>
              <w:fldChar w:fldCharType="end"/>
            </w:r>
          </w:hyperlink>
        </w:p>
        <w:p w14:paraId="0BC773A6" w14:textId="708A4412" w:rsidR="00F86410" w:rsidRDefault="00000000">
          <w:pPr>
            <w:pStyle w:val="TDC1"/>
            <w:tabs>
              <w:tab w:val="right" w:leader="dot" w:pos="8828"/>
            </w:tabs>
            <w:rPr>
              <w:rFonts w:asciiTheme="minorHAnsi" w:eastAsiaTheme="minorEastAsia" w:hAnsiTheme="minorHAnsi" w:cstheme="minorBidi"/>
              <w:noProof/>
              <w:kern w:val="2"/>
              <w14:ligatures w14:val="standardContextual"/>
            </w:rPr>
          </w:pPr>
          <w:hyperlink w:anchor="_Toc161841745" w:history="1">
            <w:r w:rsidR="00F86410" w:rsidRPr="008C1FA7">
              <w:rPr>
                <w:rStyle w:val="Hipervnculo"/>
                <w:noProof/>
              </w:rPr>
              <w:t xml:space="preserve">3.  </w:t>
            </w:r>
            <w:r w:rsidR="00F86410" w:rsidRPr="008C1FA7">
              <w:rPr>
                <w:rStyle w:val="Hipervnculo"/>
                <w:rFonts w:ascii="Book Antiqua" w:hAnsi="Book Antiqua"/>
                <w:noProof/>
              </w:rPr>
              <w:t>La rendición de cuentas de la gestión institucional de libre acceso a la ciudadanía</w:t>
            </w:r>
            <w:r w:rsidR="00F86410">
              <w:rPr>
                <w:noProof/>
                <w:webHidden/>
              </w:rPr>
              <w:tab/>
            </w:r>
            <w:r w:rsidR="00F86410">
              <w:rPr>
                <w:noProof/>
                <w:webHidden/>
              </w:rPr>
              <w:fldChar w:fldCharType="begin"/>
            </w:r>
            <w:r w:rsidR="00F86410">
              <w:rPr>
                <w:noProof/>
                <w:webHidden/>
              </w:rPr>
              <w:instrText xml:space="preserve"> PAGEREF _Toc161841745 \h </w:instrText>
            </w:r>
            <w:r w:rsidR="00F86410">
              <w:rPr>
                <w:noProof/>
                <w:webHidden/>
              </w:rPr>
            </w:r>
            <w:r w:rsidR="00F86410">
              <w:rPr>
                <w:noProof/>
                <w:webHidden/>
              </w:rPr>
              <w:fldChar w:fldCharType="separate"/>
            </w:r>
            <w:r w:rsidR="00287171">
              <w:rPr>
                <w:noProof/>
                <w:webHidden/>
              </w:rPr>
              <w:t>11</w:t>
            </w:r>
            <w:r w:rsidR="00F86410">
              <w:rPr>
                <w:noProof/>
                <w:webHidden/>
              </w:rPr>
              <w:fldChar w:fldCharType="end"/>
            </w:r>
          </w:hyperlink>
        </w:p>
        <w:p w14:paraId="10185521" w14:textId="7DAC7095" w:rsidR="00F86410" w:rsidRDefault="00F86410">
          <w:r>
            <w:rPr>
              <w:b/>
              <w:bCs/>
              <w:lang w:val="es-ES"/>
            </w:rPr>
            <w:fldChar w:fldCharType="end"/>
          </w:r>
        </w:p>
      </w:sdtContent>
    </w:sdt>
    <w:p w14:paraId="06B9EF7D" w14:textId="77777777" w:rsidR="00B3319C" w:rsidRDefault="00B3319C" w:rsidP="00054C38">
      <w:pPr>
        <w:rPr>
          <w:rFonts w:ascii="Book Antiqua" w:hAnsi="Book Antiqua"/>
          <w:b/>
          <w:iCs/>
          <w:sz w:val="22"/>
          <w:szCs w:val="22"/>
        </w:rPr>
      </w:pPr>
    </w:p>
    <w:p w14:paraId="6C731A9A" w14:textId="77777777" w:rsidR="00054C38" w:rsidRDefault="00054C38" w:rsidP="00054C38">
      <w:pPr>
        <w:rPr>
          <w:rFonts w:ascii="Book Antiqua" w:hAnsi="Book Antiqua"/>
          <w:b/>
          <w:iCs/>
          <w:sz w:val="22"/>
          <w:szCs w:val="22"/>
        </w:rPr>
      </w:pPr>
    </w:p>
    <w:p w14:paraId="54B4FFCB" w14:textId="77777777" w:rsidR="00054C38" w:rsidRDefault="00054C38" w:rsidP="00054C38">
      <w:pPr>
        <w:rPr>
          <w:rFonts w:ascii="Book Antiqua" w:hAnsi="Book Antiqua"/>
          <w:b/>
          <w:iCs/>
          <w:sz w:val="22"/>
          <w:szCs w:val="22"/>
        </w:rPr>
      </w:pPr>
    </w:p>
    <w:p w14:paraId="4D8085BC" w14:textId="77777777" w:rsidR="00054C38" w:rsidRDefault="00054C38" w:rsidP="00054C38">
      <w:pPr>
        <w:rPr>
          <w:rFonts w:ascii="Book Antiqua" w:hAnsi="Book Antiqua"/>
          <w:b/>
          <w:iCs/>
          <w:sz w:val="22"/>
          <w:szCs w:val="22"/>
        </w:rPr>
      </w:pPr>
    </w:p>
    <w:p w14:paraId="09666F54" w14:textId="77777777" w:rsidR="00054C38" w:rsidRDefault="00054C38" w:rsidP="00054C38">
      <w:pPr>
        <w:rPr>
          <w:rFonts w:ascii="Book Antiqua" w:hAnsi="Book Antiqua"/>
          <w:b/>
          <w:iCs/>
          <w:sz w:val="22"/>
          <w:szCs w:val="22"/>
        </w:rPr>
      </w:pPr>
    </w:p>
    <w:p w14:paraId="04BE434A" w14:textId="77777777" w:rsidR="00054C38" w:rsidRDefault="00054C38" w:rsidP="00054C38">
      <w:pPr>
        <w:rPr>
          <w:rFonts w:ascii="Book Antiqua" w:hAnsi="Book Antiqua"/>
          <w:b/>
          <w:iCs/>
          <w:sz w:val="22"/>
          <w:szCs w:val="22"/>
        </w:rPr>
      </w:pPr>
    </w:p>
    <w:p w14:paraId="26EE0B1B" w14:textId="77777777" w:rsidR="00054C38" w:rsidRDefault="00054C38" w:rsidP="00054C38">
      <w:pPr>
        <w:rPr>
          <w:rFonts w:ascii="Book Antiqua" w:hAnsi="Book Antiqua"/>
          <w:b/>
          <w:iCs/>
          <w:sz w:val="22"/>
          <w:szCs w:val="22"/>
        </w:rPr>
      </w:pPr>
    </w:p>
    <w:p w14:paraId="7507B496" w14:textId="77777777" w:rsidR="00054C38" w:rsidRDefault="00054C38" w:rsidP="00054C38">
      <w:pPr>
        <w:rPr>
          <w:rFonts w:ascii="Book Antiqua" w:hAnsi="Book Antiqua"/>
          <w:b/>
          <w:iCs/>
          <w:sz w:val="22"/>
          <w:szCs w:val="22"/>
        </w:rPr>
      </w:pPr>
    </w:p>
    <w:p w14:paraId="1AD1FBEF" w14:textId="77777777" w:rsidR="00054C38" w:rsidRDefault="00054C38" w:rsidP="00054C38">
      <w:pPr>
        <w:rPr>
          <w:rFonts w:ascii="Book Antiqua" w:hAnsi="Book Antiqua"/>
          <w:b/>
          <w:iCs/>
          <w:sz w:val="22"/>
          <w:szCs w:val="22"/>
        </w:rPr>
      </w:pPr>
    </w:p>
    <w:p w14:paraId="09860243" w14:textId="77777777" w:rsidR="00054C38" w:rsidRDefault="00054C38" w:rsidP="00054C38">
      <w:pPr>
        <w:rPr>
          <w:rFonts w:ascii="Book Antiqua" w:hAnsi="Book Antiqua"/>
          <w:b/>
          <w:iCs/>
          <w:sz w:val="22"/>
          <w:szCs w:val="22"/>
        </w:rPr>
      </w:pPr>
    </w:p>
    <w:p w14:paraId="3842D4B7" w14:textId="77777777" w:rsidR="00054C38" w:rsidRDefault="00054C38" w:rsidP="00054C38">
      <w:pPr>
        <w:rPr>
          <w:rFonts w:ascii="Book Antiqua" w:hAnsi="Book Antiqua"/>
          <w:b/>
          <w:iCs/>
          <w:sz w:val="22"/>
          <w:szCs w:val="22"/>
        </w:rPr>
      </w:pPr>
    </w:p>
    <w:p w14:paraId="1E6C27E2" w14:textId="77777777" w:rsidR="00054C38" w:rsidRDefault="00054C38" w:rsidP="00054C38">
      <w:pPr>
        <w:rPr>
          <w:rFonts w:ascii="Book Antiqua" w:hAnsi="Book Antiqua"/>
          <w:b/>
          <w:iCs/>
          <w:sz w:val="22"/>
          <w:szCs w:val="22"/>
        </w:rPr>
      </w:pPr>
    </w:p>
    <w:p w14:paraId="3A96BC70" w14:textId="77777777" w:rsidR="00054C38" w:rsidRDefault="00054C38" w:rsidP="00054C38">
      <w:pPr>
        <w:rPr>
          <w:rFonts w:ascii="Book Antiqua" w:hAnsi="Book Antiqua"/>
          <w:b/>
          <w:iCs/>
          <w:sz w:val="22"/>
          <w:szCs w:val="22"/>
        </w:rPr>
      </w:pPr>
    </w:p>
    <w:p w14:paraId="655EE202" w14:textId="77777777" w:rsidR="00054C38" w:rsidRDefault="00054C38" w:rsidP="00054C38">
      <w:pPr>
        <w:rPr>
          <w:rFonts w:ascii="Book Antiqua" w:hAnsi="Book Antiqua"/>
          <w:b/>
          <w:iCs/>
          <w:sz w:val="22"/>
          <w:szCs w:val="22"/>
        </w:rPr>
      </w:pPr>
    </w:p>
    <w:p w14:paraId="2A8F8B2B" w14:textId="77777777" w:rsidR="00054C38" w:rsidRDefault="00054C38" w:rsidP="00054C38">
      <w:pPr>
        <w:rPr>
          <w:rFonts w:ascii="Book Antiqua" w:hAnsi="Book Antiqua"/>
          <w:b/>
          <w:iCs/>
          <w:sz w:val="22"/>
          <w:szCs w:val="22"/>
        </w:rPr>
      </w:pPr>
    </w:p>
    <w:p w14:paraId="66B5ACA0" w14:textId="77777777" w:rsidR="00054C38" w:rsidRDefault="00054C38" w:rsidP="00054C38">
      <w:pPr>
        <w:rPr>
          <w:rFonts w:ascii="Book Antiqua" w:hAnsi="Book Antiqua"/>
          <w:b/>
          <w:iCs/>
          <w:sz w:val="22"/>
          <w:szCs w:val="22"/>
        </w:rPr>
      </w:pPr>
    </w:p>
    <w:p w14:paraId="09A0F018" w14:textId="77777777" w:rsidR="00054C38" w:rsidRDefault="00054C38" w:rsidP="00054C38">
      <w:pPr>
        <w:rPr>
          <w:rFonts w:ascii="Book Antiqua" w:hAnsi="Book Antiqua"/>
          <w:b/>
          <w:iCs/>
          <w:sz w:val="22"/>
          <w:szCs w:val="22"/>
        </w:rPr>
      </w:pPr>
    </w:p>
    <w:p w14:paraId="4AA3A98B" w14:textId="77777777" w:rsidR="00054C38" w:rsidRDefault="00054C38" w:rsidP="00054C38">
      <w:pPr>
        <w:rPr>
          <w:rFonts w:ascii="Book Antiqua" w:hAnsi="Book Antiqua"/>
          <w:b/>
          <w:iCs/>
          <w:sz w:val="22"/>
          <w:szCs w:val="22"/>
        </w:rPr>
      </w:pPr>
    </w:p>
    <w:p w14:paraId="7D968314" w14:textId="77777777" w:rsidR="00054C38" w:rsidRDefault="00054C38" w:rsidP="00054C38">
      <w:pPr>
        <w:rPr>
          <w:rFonts w:ascii="Book Antiqua" w:hAnsi="Book Antiqua"/>
          <w:b/>
          <w:iCs/>
          <w:sz w:val="22"/>
          <w:szCs w:val="22"/>
        </w:rPr>
      </w:pPr>
    </w:p>
    <w:p w14:paraId="48C2F349" w14:textId="77777777" w:rsidR="00054C38" w:rsidRDefault="00054C38" w:rsidP="00054C38">
      <w:pPr>
        <w:rPr>
          <w:rFonts w:ascii="Book Antiqua" w:hAnsi="Book Antiqua"/>
          <w:b/>
          <w:iCs/>
          <w:sz w:val="22"/>
          <w:szCs w:val="22"/>
        </w:rPr>
      </w:pPr>
    </w:p>
    <w:p w14:paraId="57499B8C" w14:textId="77777777" w:rsidR="00054C38" w:rsidRDefault="00054C38" w:rsidP="00054C38">
      <w:pPr>
        <w:rPr>
          <w:rFonts w:ascii="Book Antiqua" w:hAnsi="Book Antiqua"/>
          <w:b/>
          <w:iCs/>
          <w:sz w:val="22"/>
          <w:szCs w:val="22"/>
        </w:rPr>
      </w:pPr>
    </w:p>
    <w:p w14:paraId="046AB5F1" w14:textId="77777777" w:rsidR="00054C38" w:rsidRDefault="00054C38" w:rsidP="00054C38">
      <w:pPr>
        <w:rPr>
          <w:rFonts w:ascii="Book Antiqua" w:hAnsi="Book Antiqua"/>
          <w:b/>
          <w:iCs/>
          <w:sz w:val="22"/>
          <w:szCs w:val="22"/>
        </w:rPr>
      </w:pPr>
    </w:p>
    <w:p w14:paraId="030B414F" w14:textId="77777777" w:rsidR="00054C38" w:rsidRDefault="00054C38" w:rsidP="00054C38">
      <w:pPr>
        <w:rPr>
          <w:rFonts w:ascii="Book Antiqua" w:hAnsi="Book Antiqua"/>
          <w:b/>
          <w:iCs/>
          <w:sz w:val="22"/>
          <w:szCs w:val="22"/>
        </w:rPr>
      </w:pPr>
    </w:p>
    <w:p w14:paraId="484FC667" w14:textId="77777777" w:rsidR="00054C38" w:rsidRDefault="00054C38" w:rsidP="00054C38">
      <w:pPr>
        <w:rPr>
          <w:rFonts w:ascii="Book Antiqua" w:hAnsi="Book Antiqua"/>
          <w:b/>
          <w:iCs/>
          <w:sz w:val="22"/>
          <w:szCs w:val="22"/>
        </w:rPr>
      </w:pPr>
    </w:p>
    <w:p w14:paraId="0D400DF0" w14:textId="77777777" w:rsidR="00054C38" w:rsidRDefault="00054C38" w:rsidP="00054C38">
      <w:pPr>
        <w:rPr>
          <w:rFonts w:ascii="Book Antiqua" w:hAnsi="Book Antiqua"/>
          <w:b/>
          <w:iCs/>
          <w:sz w:val="22"/>
          <w:szCs w:val="22"/>
        </w:rPr>
      </w:pPr>
    </w:p>
    <w:p w14:paraId="17697426" w14:textId="77777777" w:rsidR="00054C38" w:rsidRDefault="00054C38" w:rsidP="00054C38">
      <w:pPr>
        <w:rPr>
          <w:rFonts w:ascii="Book Antiqua" w:hAnsi="Book Antiqua"/>
          <w:b/>
          <w:iCs/>
          <w:sz w:val="22"/>
          <w:szCs w:val="22"/>
        </w:rPr>
      </w:pPr>
    </w:p>
    <w:p w14:paraId="7844F202" w14:textId="77777777" w:rsidR="00054C38" w:rsidRDefault="00054C38" w:rsidP="00054C38">
      <w:pPr>
        <w:rPr>
          <w:rFonts w:ascii="Book Antiqua" w:hAnsi="Book Antiqua"/>
          <w:b/>
          <w:iCs/>
          <w:sz w:val="22"/>
          <w:szCs w:val="22"/>
        </w:rPr>
      </w:pPr>
    </w:p>
    <w:p w14:paraId="4BAE937B" w14:textId="77777777" w:rsidR="00054C38" w:rsidRDefault="00054C38" w:rsidP="00054C38">
      <w:pPr>
        <w:rPr>
          <w:rFonts w:ascii="Book Antiqua" w:hAnsi="Book Antiqua"/>
          <w:b/>
          <w:iCs/>
          <w:sz w:val="22"/>
          <w:szCs w:val="22"/>
        </w:rPr>
      </w:pPr>
    </w:p>
    <w:p w14:paraId="1921F2B0" w14:textId="77777777" w:rsidR="00054C38" w:rsidRDefault="00054C38" w:rsidP="00054C38">
      <w:pPr>
        <w:rPr>
          <w:rFonts w:ascii="Book Antiqua" w:hAnsi="Book Antiqua"/>
          <w:b/>
          <w:iCs/>
          <w:sz w:val="22"/>
          <w:szCs w:val="22"/>
        </w:rPr>
      </w:pPr>
    </w:p>
    <w:p w14:paraId="6A531655" w14:textId="77777777" w:rsidR="00054C38" w:rsidRDefault="00054C38" w:rsidP="00054C38">
      <w:pPr>
        <w:rPr>
          <w:rFonts w:ascii="Book Antiqua" w:hAnsi="Book Antiqua"/>
          <w:b/>
          <w:iCs/>
          <w:sz w:val="22"/>
          <w:szCs w:val="22"/>
        </w:rPr>
      </w:pPr>
    </w:p>
    <w:p w14:paraId="666F14A6" w14:textId="77777777" w:rsidR="00054C38" w:rsidRPr="0062722A" w:rsidRDefault="00054C38" w:rsidP="00054C38">
      <w:pPr>
        <w:rPr>
          <w:rFonts w:ascii="Book Antiqua" w:hAnsi="Book Antiqua"/>
          <w:b/>
          <w:i/>
        </w:rPr>
      </w:pPr>
    </w:p>
    <w:p w14:paraId="064AFABC" w14:textId="77777777" w:rsidR="00054C38" w:rsidRPr="0062722A" w:rsidRDefault="00054C38" w:rsidP="00054C38">
      <w:pPr>
        <w:spacing w:after="120" w:line="276" w:lineRule="auto"/>
        <w:jc w:val="center"/>
        <w:outlineLvl w:val="0"/>
        <w:rPr>
          <w:rFonts w:ascii="Book Antiqua" w:hAnsi="Book Antiqua"/>
          <w:b/>
          <w:i/>
        </w:rPr>
      </w:pPr>
      <w:bookmarkStart w:id="0" w:name="_Toc99009984"/>
      <w:bookmarkStart w:id="1" w:name="_Toc161841742"/>
      <w:r w:rsidRPr="0062722A">
        <w:rPr>
          <w:rFonts w:ascii="Book Antiqua" w:hAnsi="Book Antiqua"/>
          <w:b/>
          <w:i/>
        </w:rPr>
        <w:t>Presentación</w:t>
      </w:r>
      <w:bookmarkEnd w:id="0"/>
      <w:bookmarkEnd w:id="1"/>
    </w:p>
    <w:p w14:paraId="0581C03D" w14:textId="77777777" w:rsidR="00054C38" w:rsidRPr="0062722A" w:rsidRDefault="00054C38" w:rsidP="00054C38">
      <w:pPr>
        <w:spacing w:after="120" w:line="276" w:lineRule="auto"/>
        <w:rPr>
          <w:rFonts w:ascii="Book Antiqua" w:hAnsi="Book Antiqua"/>
          <w:i/>
        </w:rPr>
      </w:pPr>
    </w:p>
    <w:p w14:paraId="5DB891A4" w14:textId="3C19BC4E" w:rsidR="00054C38" w:rsidRPr="0062722A" w:rsidRDefault="00054C38" w:rsidP="00054C38">
      <w:pPr>
        <w:spacing w:after="120" w:line="360" w:lineRule="auto"/>
        <w:jc w:val="both"/>
        <w:rPr>
          <w:rFonts w:ascii="Book Antiqua" w:hAnsi="Book Antiqua"/>
          <w:i/>
        </w:rPr>
      </w:pPr>
      <w:r w:rsidRPr="0062722A">
        <w:rPr>
          <w:rFonts w:ascii="Book Antiqua" w:hAnsi="Book Antiqua"/>
          <w:i/>
        </w:rPr>
        <w:t>La Secretaría Presidencial de la Mujer (Seprem), como órgano asesor y coordinador de la Presidencia de la República encargado de gestionar acciones de política pública con instancias gubernamentales y no gubernamentales, nacionales e internacionales, que coadyuven a lograr la plena participación de las mujeres en el desarrollo del país, en condiciones de igualdad, equidad y respeto entre hombres y mujeres,  para el ejercicio fiscal 202</w:t>
      </w:r>
      <w:r w:rsidR="004D036E">
        <w:rPr>
          <w:rFonts w:ascii="Book Antiqua" w:hAnsi="Book Antiqua"/>
          <w:i/>
        </w:rPr>
        <w:t>4</w:t>
      </w:r>
      <w:r w:rsidRPr="0028166D">
        <w:rPr>
          <w:rFonts w:ascii="Book Antiqua" w:hAnsi="Book Antiqua"/>
          <w:i/>
        </w:rPr>
        <w:t xml:space="preserve">, </w:t>
      </w:r>
      <w:r w:rsidRPr="0062722A">
        <w:rPr>
          <w:rFonts w:ascii="Book Antiqua" w:hAnsi="Book Antiqua"/>
          <w:i/>
        </w:rPr>
        <w:t>define una estrategia de trabajo que permite centrar esfuerzos en la implementación de medidas que orienten las acciones institucionales hacia el logro de resultados</w:t>
      </w:r>
      <w:r w:rsidRPr="0028166D">
        <w:rPr>
          <w:rFonts w:ascii="Book Antiqua" w:hAnsi="Book Antiqua"/>
          <w:i/>
        </w:rPr>
        <w:t>,</w:t>
      </w:r>
      <w:r w:rsidRPr="0062722A">
        <w:rPr>
          <w:rFonts w:ascii="Book Antiqua" w:hAnsi="Book Antiqua"/>
          <w:i/>
        </w:rPr>
        <w:t xml:space="preserve"> promuevan la transparencia,  eliminen gastos superfluos y rendición de cuentas de la gestión institucional a la ciudadanía.</w:t>
      </w:r>
    </w:p>
    <w:p w14:paraId="0CB8243C" w14:textId="1F76DC72" w:rsidR="00054C38" w:rsidRPr="0062722A" w:rsidRDefault="00054C38" w:rsidP="00054C38">
      <w:pPr>
        <w:spacing w:after="120" w:line="360" w:lineRule="auto"/>
        <w:jc w:val="both"/>
        <w:rPr>
          <w:rFonts w:ascii="Book Antiqua" w:hAnsi="Book Antiqua"/>
          <w:i/>
        </w:rPr>
      </w:pPr>
      <w:r w:rsidRPr="0062722A">
        <w:rPr>
          <w:rFonts w:ascii="Book Antiqua" w:hAnsi="Book Antiqua"/>
          <w:i/>
        </w:rPr>
        <w:t xml:space="preserve">Esta estrategia se fundamenta en lo establecido en el artículo </w:t>
      </w:r>
      <w:r>
        <w:rPr>
          <w:rFonts w:ascii="Book Antiqua" w:hAnsi="Book Antiqua"/>
          <w:i/>
        </w:rPr>
        <w:t>21</w:t>
      </w:r>
      <w:r w:rsidRPr="0062722A">
        <w:rPr>
          <w:rFonts w:ascii="Book Antiqua" w:hAnsi="Book Antiqua"/>
          <w:i/>
        </w:rPr>
        <w:t xml:space="preserve"> del Decreto </w:t>
      </w:r>
      <w:r>
        <w:rPr>
          <w:rFonts w:ascii="Book Antiqua" w:hAnsi="Book Antiqua"/>
          <w:i/>
        </w:rPr>
        <w:t>54</w:t>
      </w:r>
      <w:r w:rsidRPr="0062722A">
        <w:rPr>
          <w:rFonts w:ascii="Book Antiqua" w:hAnsi="Book Antiqua"/>
          <w:i/>
        </w:rPr>
        <w:t>-202</w:t>
      </w:r>
      <w:r>
        <w:rPr>
          <w:rFonts w:ascii="Book Antiqua" w:hAnsi="Book Antiqua"/>
          <w:i/>
        </w:rPr>
        <w:t>2</w:t>
      </w:r>
      <w:r w:rsidRPr="0062722A">
        <w:rPr>
          <w:rFonts w:ascii="Book Antiqua" w:hAnsi="Book Antiqua"/>
          <w:i/>
        </w:rPr>
        <w:t xml:space="preserve"> Ley del Presupuesto General de Ingresos y Egresos del Estado para el Ejercicio Fiscal dos mil veinti</w:t>
      </w:r>
      <w:r>
        <w:rPr>
          <w:rFonts w:ascii="Book Antiqua" w:hAnsi="Book Antiqua"/>
          <w:i/>
        </w:rPr>
        <w:t>trés</w:t>
      </w:r>
      <w:r w:rsidRPr="0062722A">
        <w:rPr>
          <w:rFonts w:ascii="Book Antiqua" w:hAnsi="Book Antiqua"/>
          <w:i/>
        </w:rPr>
        <w:t xml:space="preserve">, </w:t>
      </w:r>
      <w:r w:rsidR="004D036E">
        <w:rPr>
          <w:rFonts w:ascii="Book Antiqua" w:hAnsi="Book Antiqua"/>
          <w:i/>
        </w:rPr>
        <w:t xml:space="preserve">vigente para el ejercicio fiscal dos mil veinticuatro, </w:t>
      </w:r>
      <w:r w:rsidRPr="0062722A">
        <w:rPr>
          <w:rFonts w:ascii="Book Antiqua" w:hAnsi="Book Antiqua"/>
          <w:i/>
        </w:rPr>
        <w:t xml:space="preserve">que determina la obligatoriedad de publicar una estrategia cuya esencia sea velar porque las acciones institucionales se realicen sobre la base de los principios de eficiencia, eficacia y equidad. </w:t>
      </w:r>
    </w:p>
    <w:p w14:paraId="0F52DB9B" w14:textId="7A46F6CC" w:rsidR="00054C38" w:rsidRPr="0062722A" w:rsidRDefault="00054C38" w:rsidP="00054C38">
      <w:pPr>
        <w:spacing w:line="360" w:lineRule="auto"/>
        <w:ind w:left="3"/>
        <w:contextualSpacing/>
        <w:jc w:val="both"/>
        <w:rPr>
          <w:rFonts w:ascii="Book Antiqua" w:hAnsi="Book Antiqua"/>
          <w:i/>
        </w:rPr>
      </w:pPr>
      <w:r w:rsidRPr="0062722A">
        <w:rPr>
          <w:rFonts w:ascii="Book Antiqua" w:hAnsi="Book Antiqua"/>
          <w:i/>
        </w:rPr>
        <w:t>Atendiendo a esta normativa, la Seprem, presenta la estrategia de trabajo para el ejercicio fiscal 202</w:t>
      </w:r>
      <w:r w:rsidR="004D036E">
        <w:rPr>
          <w:rFonts w:ascii="Book Antiqua" w:hAnsi="Book Antiqua"/>
          <w:i/>
        </w:rPr>
        <w:t>4</w:t>
      </w:r>
      <w:r w:rsidRPr="0062722A">
        <w:rPr>
          <w:rFonts w:ascii="Book Antiqua" w:hAnsi="Book Antiqua"/>
          <w:i/>
        </w:rPr>
        <w:t>, que define medidas y focaliza esfuerzos técnicos y administrativos para transparentar el gasto público, cuyo fin último sea incidir en la reducción de las brechas de inequidad entre hombres y mujeres.</w:t>
      </w:r>
    </w:p>
    <w:p w14:paraId="78BF798F" w14:textId="77777777" w:rsidR="00054C38" w:rsidRDefault="00054C38" w:rsidP="00054C38">
      <w:pPr>
        <w:spacing w:line="360" w:lineRule="auto"/>
        <w:rPr>
          <w:rFonts w:ascii="Book Antiqua" w:hAnsi="Book Antiqua"/>
          <w:b/>
          <w:i/>
        </w:rPr>
      </w:pPr>
    </w:p>
    <w:p w14:paraId="17D3C754" w14:textId="77777777" w:rsidR="00054C38" w:rsidRDefault="00054C38" w:rsidP="00054C38">
      <w:pPr>
        <w:spacing w:line="360" w:lineRule="auto"/>
        <w:rPr>
          <w:rFonts w:ascii="Book Antiqua" w:hAnsi="Book Antiqua"/>
          <w:b/>
          <w:i/>
        </w:rPr>
      </w:pPr>
    </w:p>
    <w:p w14:paraId="3F02A812" w14:textId="77777777" w:rsidR="00054C38" w:rsidRDefault="00054C38" w:rsidP="00054C38">
      <w:pPr>
        <w:spacing w:line="360" w:lineRule="auto"/>
        <w:rPr>
          <w:rFonts w:ascii="Book Antiqua" w:hAnsi="Book Antiqua"/>
          <w:b/>
          <w:i/>
        </w:rPr>
      </w:pPr>
    </w:p>
    <w:p w14:paraId="06A6F367" w14:textId="77777777" w:rsidR="00054C38" w:rsidRDefault="00054C38" w:rsidP="00054C38">
      <w:pPr>
        <w:spacing w:line="360" w:lineRule="auto"/>
        <w:rPr>
          <w:rFonts w:ascii="Book Antiqua" w:hAnsi="Book Antiqua"/>
          <w:b/>
          <w:i/>
        </w:rPr>
      </w:pPr>
    </w:p>
    <w:p w14:paraId="6B64CB8A" w14:textId="77777777" w:rsidR="00054C38" w:rsidRDefault="00054C38" w:rsidP="00054C38">
      <w:pPr>
        <w:spacing w:line="360" w:lineRule="auto"/>
        <w:rPr>
          <w:rFonts w:ascii="Book Antiqua" w:hAnsi="Book Antiqua"/>
          <w:b/>
          <w:i/>
        </w:rPr>
      </w:pPr>
    </w:p>
    <w:p w14:paraId="64A76240" w14:textId="77777777" w:rsidR="00054C38" w:rsidRDefault="00054C38" w:rsidP="00054C38">
      <w:pPr>
        <w:spacing w:line="360" w:lineRule="auto"/>
        <w:rPr>
          <w:rFonts w:ascii="Book Antiqua" w:hAnsi="Book Antiqua"/>
          <w:b/>
          <w:i/>
        </w:rPr>
      </w:pPr>
    </w:p>
    <w:p w14:paraId="712A26B2" w14:textId="77777777" w:rsidR="00F86410" w:rsidRDefault="00F86410" w:rsidP="00054C38">
      <w:pPr>
        <w:spacing w:line="360" w:lineRule="auto"/>
        <w:rPr>
          <w:rFonts w:ascii="Book Antiqua" w:hAnsi="Book Antiqua"/>
          <w:b/>
          <w:i/>
        </w:rPr>
      </w:pPr>
    </w:p>
    <w:p w14:paraId="7C12D044" w14:textId="77777777" w:rsidR="00F86410" w:rsidRPr="0062722A" w:rsidRDefault="00F86410" w:rsidP="00054C38">
      <w:pPr>
        <w:spacing w:line="360" w:lineRule="auto"/>
        <w:rPr>
          <w:rFonts w:ascii="Book Antiqua" w:hAnsi="Book Antiqua"/>
          <w:b/>
          <w:i/>
        </w:rPr>
      </w:pPr>
    </w:p>
    <w:p w14:paraId="7A032A50" w14:textId="77777777" w:rsidR="00054C38" w:rsidRDefault="00054C38" w:rsidP="00054C38">
      <w:pPr>
        <w:spacing w:line="360" w:lineRule="auto"/>
        <w:jc w:val="right"/>
        <w:rPr>
          <w:rFonts w:ascii="Book Antiqua" w:hAnsi="Book Antiqua"/>
          <w:b/>
          <w:i/>
        </w:rPr>
      </w:pPr>
    </w:p>
    <w:p w14:paraId="667B2F9A" w14:textId="77777777" w:rsidR="00054C38" w:rsidRPr="0062722A" w:rsidRDefault="00054C38" w:rsidP="00054C38">
      <w:pPr>
        <w:spacing w:line="360" w:lineRule="auto"/>
        <w:jc w:val="right"/>
        <w:rPr>
          <w:rFonts w:ascii="Book Antiqua" w:hAnsi="Book Antiqua"/>
          <w:b/>
          <w:i/>
        </w:rPr>
      </w:pPr>
    </w:p>
    <w:p w14:paraId="1EDE208E" w14:textId="77777777" w:rsidR="00054C38" w:rsidRPr="0062722A" w:rsidRDefault="00054C38" w:rsidP="00054C38">
      <w:pPr>
        <w:jc w:val="center"/>
        <w:rPr>
          <w:rFonts w:ascii="Book Antiqua" w:hAnsi="Book Antiqua"/>
          <w:b/>
          <w:i/>
        </w:rPr>
      </w:pPr>
    </w:p>
    <w:p w14:paraId="4A93B9DB" w14:textId="74485C1D" w:rsidR="00054C38" w:rsidRPr="0062722A" w:rsidRDefault="00054C38" w:rsidP="00054C38">
      <w:pPr>
        <w:jc w:val="center"/>
        <w:rPr>
          <w:rFonts w:ascii="Book Antiqua" w:hAnsi="Book Antiqua"/>
          <w:b/>
          <w:i/>
        </w:rPr>
      </w:pPr>
      <w:bookmarkStart w:id="2" w:name="_Toc4567998"/>
      <w:bookmarkStart w:id="3" w:name="_Toc4568026"/>
      <w:bookmarkStart w:id="4" w:name="_Toc4567999"/>
      <w:bookmarkStart w:id="5" w:name="_Toc4568027"/>
      <w:bookmarkStart w:id="6" w:name="_Toc4568000"/>
      <w:bookmarkStart w:id="7" w:name="_Toc4568028"/>
      <w:bookmarkEnd w:id="2"/>
      <w:bookmarkEnd w:id="3"/>
      <w:bookmarkEnd w:id="4"/>
      <w:bookmarkEnd w:id="5"/>
      <w:bookmarkEnd w:id="6"/>
      <w:bookmarkEnd w:id="7"/>
      <w:r w:rsidRPr="0062722A">
        <w:rPr>
          <w:rFonts w:ascii="Book Antiqua" w:hAnsi="Book Antiqua"/>
          <w:b/>
          <w:i/>
        </w:rPr>
        <w:t>Estrategia para mejorar la ejecución y calidad del Gasto Público 202</w:t>
      </w:r>
      <w:r w:rsidR="007F4E31">
        <w:rPr>
          <w:rFonts w:ascii="Book Antiqua" w:hAnsi="Book Antiqua"/>
          <w:b/>
          <w:i/>
        </w:rPr>
        <w:t>4</w:t>
      </w:r>
    </w:p>
    <w:p w14:paraId="204DF155" w14:textId="77777777" w:rsidR="00054C38" w:rsidRPr="0062722A" w:rsidRDefault="00054C38" w:rsidP="00054C38">
      <w:pPr>
        <w:jc w:val="center"/>
        <w:rPr>
          <w:rFonts w:ascii="Book Antiqua" w:hAnsi="Book Antiqua"/>
          <w:b/>
          <w:i/>
        </w:rPr>
      </w:pPr>
      <w:r w:rsidRPr="0062722A">
        <w:rPr>
          <w:rFonts w:ascii="Book Antiqua" w:hAnsi="Book Antiqua"/>
          <w:b/>
          <w:i/>
        </w:rPr>
        <w:t>Secretaría Presidencial de la Mujer</w:t>
      </w:r>
    </w:p>
    <w:p w14:paraId="69301D7F" w14:textId="77777777" w:rsidR="00054C38" w:rsidRPr="0062722A" w:rsidRDefault="00054C38" w:rsidP="00054C38">
      <w:pPr>
        <w:jc w:val="center"/>
        <w:rPr>
          <w:rFonts w:ascii="Book Antiqua" w:hAnsi="Book Antiqua"/>
          <w:b/>
          <w:i/>
        </w:rPr>
      </w:pPr>
    </w:p>
    <w:p w14:paraId="75E8863F" w14:textId="7ED6EC15" w:rsidR="00054C38" w:rsidRDefault="00054C38" w:rsidP="00054C38">
      <w:pPr>
        <w:tabs>
          <w:tab w:val="left" w:pos="1882"/>
        </w:tabs>
        <w:spacing w:line="259" w:lineRule="auto"/>
        <w:jc w:val="both"/>
        <w:rPr>
          <w:rFonts w:ascii="Book Antiqua" w:hAnsi="Book Antiqua"/>
          <w:bCs/>
          <w:i/>
        </w:rPr>
      </w:pPr>
      <w:r w:rsidRPr="0062722A">
        <w:rPr>
          <w:rFonts w:ascii="Book Antiqua" w:hAnsi="Book Antiqua" w:cs="Times New Roman"/>
          <w:i/>
        </w:rPr>
        <w:t xml:space="preserve">La Secretaría Presidencial de la Mujer -Seprem-, en observancia a lo establecido en el Artículo </w:t>
      </w:r>
      <w:r>
        <w:rPr>
          <w:rFonts w:ascii="Book Antiqua" w:hAnsi="Book Antiqua"/>
          <w:bCs/>
          <w:i/>
        </w:rPr>
        <w:t>21</w:t>
      </w:r>
      <w:r w:rsidRPr="0062722A">
        <w:rPr>
          <w:rFonts w:ascii="Book Antiqua" w:hAnsi="Book Antiqua"/>
          <w:bCs/>
          <w:i/>
        </w:rPr>
        <w:t xml:space="preserve"> del Decreto </w:t>
      </w:r>
      <w:r>
        <w:rPr>
          <w:rFonts w:ascii="Book Antiqua" w:hAnsi="Book Antiqua"/>
          <w:bCs/>
          <w:i/>
        </w:rPr>
        <w:t>54</w:t>
      </w:r>
      <w:r w:rsidRPr="0062722A">
        <w:rPr>
          <w:rFonts w:ascii="Book Antiqua" w:hAnsi="Book Antiqua"/>
          <w:bCs/>
          <w:i/>
        </w:rPr>
        <w:t>-202</w:t>
      </w:r>
      <w:r>
        <w:rPr>
          <w:rFonts w:ascii="Book Antiqua" w:hAnsi="Book Antiqua"/>
          <w:bCs/>
          <w:i/>
        </w:rPr>
        <w:t>2</w:t>
      </w:r>
      <w:r w:rsidRPr="0062722A">
        <w:rPr>
          <w:rFonts w:ascii="Book Antiqua" w:hAnsi="Book Antiqua"/>
          <w:bCs/>
          <w:i/>
        </w:rPr>
        <w:t>, Ley del Pres</w:t>
      </w:r>
      <w:r w:rsidR="007F4E31">
        <w:rPr>
          <w:rFonts w:ascii="Book Antiqua" w:hAnsi="Book Antiqua"/>
          <w:bCs/>
          <w:i/>
        </w:rPr>
        <w:t>u</w:t>
      </w:r>
      <w:r w:rsidRPr="0062722A">
        <w:rPr>
          <w:rFonts w:ascii="Book Antiqua" w:hAnsi="Book Antiqua"/>
          <w:bCs/>
          <w:i/>
        </w:rPr>
        <w:t>puesto General de Ingresos y Egresos del Estado para el Ejercicio Fiscal 202</w:t>
      </w:r>
      <w:r>
        <w:rPr>
          <w:rFonts w:ascii="Book Antiqua" w:hAnsi="Book Antiqua"/>
          <w:bCs/>
          <w:i/>
        </w:rPr>
        <w:t>3</w:t>
      </w:r>
      <w:r w:rsidRPr="0062722A">
        <w:rPr>
          <w:rFonts w:ascii="Book Antiqua" w:hAnsi="Book Antiqua"/>
          <w:bCs/>
          <w:i/>
        </w:rPr>
        <w:t xml:space="preserve">, </w:t>
      </w:r>
      <w:r w:rsidR="007F4E31">
        <w:rPr>
          <w:rFonts w:ascii="Book Antiqua" w:hAnsi="Book Antiqua"/>
          <w:bCs/>
          <w:i/>
        </w:rPr>
        <w:t xml:space="preserve">vigente para el ejercicio fiscal 2024, </w:t>
      </w:r>
      <w:r w:rsidRPr="0062722A">
        <w:rPr>
          <w:rFonts w:ascii="Book Antiqua" w:hAnsi="Book Antiqua" w:cs="Times New Roman"/>
          <w:i/>
        </w:rPr>
        <w:t xml:space="preserve">con el fin de promover que las acciones institucionales sean eficaces, eficientes y equitativas, </w:t>
      </w:r>
      <w:r w:rsidRPr="0062722A">
        <w:rPr>
          <w:rFonts w:ascii="Book Antiqua" w:hAnsi="Book Antiqua"/>
          <w:bCs/>
          <w:i/>
        </w:rPr>
        <w:t>define la presente estrategia de trabajo, misma que contiene lo siguiente:</w:t>
      </w:r>
    </w:p>
    <w:p w14:paraId="2590D933" w14:textId="77777777" w:rsidR="007C1DCA" w:rsidRPr="0062722A" w:rsidRDefault="007C1DCA" w:rsidP="00054C38">
      <w:pPr>
        <w:tabs>
          <w:tab w:val="left" w:pos="1882"/>
        </w:tabs>
        <w:spacing w:line="259" w:lineRule="auto"/>
        <w:jc w:val="both"/>
        <w:rPr>
          <w:rFonts w:ascii="Book Antiqua" w:hAnsi="Book Antiqua"/>
          <w:bCs/>
          <w:i/>
        </w:rPr>
      </w:pPr>
    </w:p>
    <w:p w14:paraId="74731B6A" w14:textId="77777777" w:rsidR="00054C38" w:rsidRPr="0062722A" w:rsidRDefault="00054C38" w:rsidP="00054C38">
      <w:pPr>
        <w:numPr>
          <w:ilvl w:val="0"/>
          <w:numId w:val="1"/>
        </w:numPr>
        <w:tabs>
          <w:tab w:val="left" w:pos="1882"/>
        </w:tabs>
        <w:spacing w:after="160" w:line="259" w:lineRule="auto"/>
        <w:jc w:val="both"/>
        <w:rPr>
          <w:rFonts w:ascii="Book Antiqua" w:hAnsi="Book Antiqua" w:cs="Times New Roman"/>
          <w:i/>
        </w:rPr>
      </w:pPr>
      <w:r w:rsidRPr="0062722A">
        <w:rPr>
          <w:rFonts w:ascii="Book Antiqua" w:hAnsi="Book Antiqua" w:cs="Times New Roman"/>
          <w:i/>
        </w:rPr>
        <w:t xml:space="preserve">Plan de implementación del Programa 47: Promoción y Desarrollo Integral de la Mujer </w:t>
      </w:r>
    </w:p>
    <w:p w14:paraId="7EEFAD83" w14:textId="1C4DA4C4" w:rsidR="00054C38" w:rsidRPr="0062722A" w:rsidRDefault="00054C38" w:rsidP="00054C38">
      <w:pPr>
        <w:numPr>
          <w:ilvl w:val="0"/>
          <w:numId w:val="1"/>
        </w:numPr>
        <w:tabs>
          <w:tab w:val="left" w:pos="1882"/>
        </w:tabs>
        <w:spacing w:after="160" w:line="259" w:lineRule="auto"/>
        <w:jc w:val="both"/>
        <w:rPr>
          <w:rFonts w:ascii="Book Antiqua" w:hAnsi="Book Antiqua" w:cs="Times New Roman"/>
          <w:i/>
        </w:rPr>
      </w:pPr>
      <w:r w:rsidRPr="0062722A">
        <w:rPr>
          <w:rFonts w:ascii="Book Antiqua" w:hAnsi="Book Antiqua" w:cs="Times New Roman"/>
          <w:i/>
        </w:rPr>
        <w:t xml:space="preserve">Propuesta de </w:t>
      </w:r>
      <w:r w:rsidR="00DB0E4D" w:rsidRPr="00DB0E4D">
        <w:rPr>
          <w:rFonts w:ascii="Book Antiqua" w:hAnsi="Book Antiqua" w:cs="Times New Roman"/>
          <w:i/>
        </w:rPr>
        <w:t>medidas de transparencia y eliminación de gasto superfluo</w:t>
      </w:r>
      <w:r w:rsidRPr="0062722A">
        <w:rPr>
          <w:rFonts w:ascii="Book Antiqua" w:hAnsi="Book Antiqua" w:cs="Times New Roman"/>
          <w:i/>
        </w:rPr>
        <w:t>, conforme a principios de ausencia y responsabilidad fiscal.</w:t>
      </w:r>
    </w:p>
    <w:p w14:paraId="441A9D78" w14:textId="2B31275D" w:rsidR="00054C38" w:rsidRPr="00DB0E4D" w:rsidRDefault="00054C38" w:rsidP="00054C38">
      <w:pPr>
        <w:numPr>
          <w:ilvl w:val="0"/>
          <w:numId w:val="1"/>
        </w:numPr>
        <w:tabs>
          <w:tab w:val="left" w:pos="1882"/>
        </w:tabs>
        <w:spacing w:after="160" w:line="259" w:lineRule="auto"/>
        <w:jc w:val="both"/>
        <w:rPr>
          <w:rFonts w:ascii="Book Antiqua" w:hAnsi="Book Antiqua" w:cs="Times New Roman"/>
          <w:i/>
        </w:rPr>
      </w:pPr>
      <w:r w:rsidRPr="0062722A">
        <w:rPr>
          <w:rFonts w:ascii="Book Antiqua" w:hAnsi="Book Antiqua" w:cs="Times New Roman"/>
          <w:i/>
        </w:rPr>
        <w:t xml:space="preserve">La </w:t>
      </w:r>
      <w:r w:rsidR="00DB0E4D" w:rsidRPr="00DB0E4D">
        <w:rPr>
          <w:rFonts w:ascii="Book Antiqua" w:hAnsi="Book Antiqua" w:cs="Times New Roman"/>
          <w:i/>
        </w:rPr>
        <w:t>rendición de cuentas de la gestión institucional de libre acceso a la ciudadanía.</w:t>
      </w:r>
    </w:p>
    <w:p w14:paraId="3DC47932" w14:textId="77777777" w:rsidR="007C1DCA" w:rsidRPr="007C1DCA" w:rsidRDefault="007C1DCA" w:rsidP="007C1DCA">
      <w:pPr>
        <w:tabs>
          <w:tab w:val="left" w:pos="1882"/>
        </w:tabs>
        <w:spacing w:after="160" w:line="259" w:lineRule="auto"/>
        <w:ind w:left="720"/>
        <w:jc w:val="both"/>
        <w:rPr>
          <w:rFonts w:ascii="Book Antiqua" w:hAnsi="Book Antiqua" w:cs="Times New Roman"/>
          <w:i/>
        </w:rPr>
      </w:pPr>
    </w:p>
    <w:p w14:paraId="7BA028D6" w14:textId="486FC1D1" w:rsidR="00054C38" w:rsidRPr="00BB3C12" w:rsidRDefault="00054C38" w:rsidP="00054C38">
      <w:pPr>
        <w:pStyle w:val="Ttulo1"/>
        <w:numPr>
          <w:ilvl w:val="1"/>
          <w:numId w:val="1"/>
        </w:numPr>
        <w:tabs>
          <w:tab w:val="num" w:pos="709"/>
        </w:tabs>
        <w:ind w:left="709" w:hanging="709"/>
        <w:rPr>
          <w:rFonts w:ascii="Book Antiqua" w:hAnsi="Book Antiqua"/>
        </w:rPr>
      </w:pPr>
      <w:bookmarkStart w:id="8" w:name="_Toc4568003"/>
      <w:bookmarkStart w:id="9" w:name="_Toc4568030"/>
      <w:bookmarkStart w:id="10" w:name="_Toc99009985"/>
      <w:bookmarkStart w:id="11" w:name="_Toc161841743"/>
      <w:bookmarkEnd w:id="8"/>
      <w:bookmarkEnd w:id="9"/>
      <w:r w:rsidRPr="00BB3C12">
        <w:rPr>
          <w:rFonts w:ascii="Book Antiqua" w:hAnsi="Book Antiqua"/>
        </w:rPr>
        <w:t>Plan de implementación del Programa 47: Promoción y Desarrollo Integral de la Mujer</w:t>
      </w:r>
      <w:bookmarkEnd w:id="10"/>
      <w:bookmarkEnd w:id="11"/>
      <w:r w:rsidRPr="00BB3C12">
        <w:rPr>
          <w:rFonts w:ascii="Book Antiqua" w:hAnsi="Book Antiqua"/>
        </w:rPr>
        <w:t xml:space="preserve"> </w:t>
      </w:r>
    </w:p>
    <w:p w14:paraId="4A4BA290" w14:textId="77777777" w:rsidR="00054C38" w:rsidRPr="0062722A" w:rsidRDefault="00054C38" w:rsidP="00054C38">
      <w:pPr>
        <w:rPr>
          <w:rFonts w:ascii="Book Antiqua" w:hAnsi="Book Antiqua"/>
          <w:i/>
        </w:rPr>
      </w:pPr>
    </w:p>
    <w:p w14:paraId="52A83BDD" w14:textId="77777777" w:rsidR="00054C38" w:rsidRPr="0062722A" w:rsidRDefault="00054C38" w:rsidP="00054C38">
      <w:pPr>
        <w:spacing w:line="259" w:lineRule="auto"/>
        <w:jc w:val="both"/>
        <w:rPr>
          <w:rFonts w:ascii="Book Antiqua" w:hAnsi="Book Antiqua" w:cs="Times New Roman"/>
          <w:i/>
        </w:rPr>
      </w:pPr>
      <w:r w:rsidRPr="0062722A">
        <w:rPr>
          <w:rFonts w:ascii="Book Antiqua" w:hAnsi="Book Antiqua" w:cs="Times New Roman"/>
          <w:i/>
        </w:rPr>
        <w:t>La Secretaría Presidencial de la Mujer, según lo establecido en el Acuerdo Gubernativo 200-2000 que la crea, es la entidad asesora y coordinadora de políticas públicas para promover el desarrollo integral de las mujeres guatemaltecas y el fomento de una cultura democrática.  En atención a su mandato, para el cumplimiento de sus funciones la Seprem presupuestariamente tiene definido el Programa 47: Promoción y Desarrollo Integral de la Mujer, que contiene las actividades presupuestarias que visibilizan las principales intervenciones que dan respuesta a la razón de ser de la Secretaría, siendo ellas:</w:t>
      </w:r>
    </w:p>
    <w:p w14:paraId="1B0D670D" w14:textId="77777777" w:rsidR="00054C38" w:rsidRPr="0062722A" w:rsidRDefault="00054C38" w:rsidP="00054C38">
      <w:pPr>
        <w:spacing w:line="259" w:lineRule="auto"/>
        <w:jc w:val="both"/>
        <w:rPr>
          <w:rFonts w:ascii="Book Antiqua" w:hAnsi="Book Antiqua" w:cs="Times New Roman"/>
          <w:i/>
        </w:rPr>
      </w:pPr>
    </w:p>
    <w:p w14:paraId="6C37286C" w14:textId="77777777" w:rsidR="00054C38" w:rsidRPr="00E17303" w:rsidRDefault="00054C38" w:rsidP="00E17303">
      <w:pPr>
        <w:pStyle w:val="Prrafodelista"/>
        <w:numPr>
          <w:ilvl w:val="0"/>
          <w:numId w:val="12"/>
        </w:numPr>
        <w:spacing w:after="160" w:line="276" w:lineRule="auto"/>
        <w:jc w:val="both"/>
        <w:rPr>
          <w:rFonts w:ascii="Book Antiqua" w:hAnsi="Book Antiqua" w:cs="Times New Roman"/>
          <w:i/>
        </w:rPr>
      </w:pPr>
      <w:r w:rsidRPr="00E17303">
        <w:rPr>
          <w:rFonts w:ascii="Book Antiqua" w:hAnsi="Book Antiqua" w:cs="Times New Roman"/>
          <w:i/>
        </w:rPr>
        <w:t>Dirección y coordinación;</w:t>
      </w:r>
    </w:p>
    <w:p w14:paraId="1B16BB1C" w14:textId="42A2057C" w:rsidR="00054C38" w:rsidRPr="00E17303" w:rsidRDefault="00054C38" w:rsidP="00E17303">
      <w:pPr>
        <w:pStyle w:val="Prrafodelista"/>
        <w:numPr>
          <w:ilvl w:val="0"/>
          <w:numId w:val="12"/>
        </w:numPr>
        <w:spacing w:after="160" w:line="276" w:lineRule="auto"/>
        <w:jc w:val="both"/>
        <w:rPr>
          <w:rFonts w:ascii="Book Antiqua" w:hAnsi="Book Antiqua" w:cs="Times New Roman"/>
          <w:i/>
        </w:rPr>
      </w:pPr>
      <w:r w:rsidRPr="00DB0E4D">
        <w:rPr>
          <w:rFonts w:ascii="Book Antiqua" w:hAnsi="Book Antiqua" w:cs="Times New Roman"/>
          <w:i/>
        </w:rPr>
        <w:t xml:space="preserve">Gestión </w:t>
      </w:r>
      <w:r w:rsidR="00DB0E4D" w:rsidRPr="00DB0E4D">
        <w:rPr>
          <w:rFonts w:ascii="Book Antiqua" w:hAnsi="Book Antiqua" w:cs="Times New Roman"/>
          <w:i/>
        </w:rPr>
        <w:t>de políticas públicas para la equidad entre hombres y mujeres.</w:t>
      </w:r>
    </w:p>
    <w:p w14:paraId="5214EF06" w14:textId="77777777" w:rsidR="00054C38" w:rsidRPr="0062722A" w:rsidRDefault="00054C38" w:rsidP="00E17303">
      <w:pPr>
        <w:spacing w:line="276" w:lineRule="auto"/>
        <w:contextualSpacing/>
        <w:jc w:val="both"/>
        <w:rPr>
          <w:rFonts w:ascii="Book Antiqua" w:hAnsi="Book Antiqua" w:cs="Times New Roman"/>
          <w:i/>
        </w:rPr>
      </w:pPr>
    </w:p>
    <w:p w14:paraId="2FD9AAB9" w14:textId="5308B8F9" w:rsidR="00054C38" w:rsidRPr="00287171" w:rsidRDefault="00054C38" w:rsidP="00287171">
      <w:pPr>
        <w:spacing w:after="160" w:line="278" w:lineRule="auto"/>
        <w:rPr>
          <w:rFonts w:ascii="Book Antiqua" w:hAnsi="Book Antiqua"/>
          <w:b/>
          <w:bCs/>
          <w:i/>
          <w:iCs/>
        </w:rPr>
      </w:pPr>
      <w:bookmarkStart w:id="12" w:name="_Toc99009986"/>
      <w:r w:rsidRPr="00287171">
        <w:rPr>
          <w:rFonts w:ascii="Book Antiqua" w:hAnsi="Book Antiqua"/>
          <w:b/>
          <w:bCs/>
          <w:i/>
          <w:iCs/>
        </w:rPr>
        <w:t>Resultado Institucional</w:t>
      </w:r>
      <w:bookmarkEnd w:id="12"/>
    </w:p>
    <w:p w14:paraId="4C775A37" w14:textId="3BF81A25" w:rsidR="00054C38" w:rsidRDefault="00054C38" w:rsidP="00054C38">
      <w:pPr>
        <w:spacing w:line="276" w:lineRule="auto"/>
        <w:jc w:val="both"/>
        <w:rPr>
          <w:rFonts w:ascii="Book Antiqua" w:hAnsi="Book Antiqua" w:cs="Times New Roman"/>
          <w:i/>
        </w:rPr>
      </w:pPr>
      <w:r w:rsidRPr="0062722A">
        <w:rPr>
          <w:rFonts w:ascii="Book Antiqua" w:hAnsi="Book Antiqua" w:cs="Times New Roman"/>
          <w:i/>
        </w:rPr>
        <w:t xml:space="preserve">Las intervenciones recogidas en las actividades presupuestarias </w:t>
      </w:r>
      <w:r w:rsidR="00811D96" w:rsidRPr="0062722A">
        <w:rPr>
          <w:rFonts w:ascii="Book Antiqua" w:hAnsi="Book Antiqua" w:cs="Times New Roman"/>
          <w:i/>
        </w:rPr>
        <w:t>indicadas</w:t>
      </w:r>
      <w:r w:rsidRPr="0062722A">
        <w:rPr>
          <w:rFonts w:ascii="Book Antiqua" w:hAnsi="Book Antiqua" w:cs="Times New Roman"/>
          <w:i/>
        </w:rPr>
        <w:t xml:space="preserve"> responden al resultado institucional </w:t>
      </w:r>
      <w:r>
        <w:rPr>
          <w:rFonts w:ascii="Book Antiqua" w:hAnsi="Book Antiqua" w:cs="Times New Roman"/>
          <w:i/>
        </w:rPr>
        <w:t>final</w:t>
      </w:r>
      <w:r w:rsidR="00020484">
        <w:rPr>
          <w:rFonts w:ascii="Book Antiqua" w:hAnsi="Book Antiqua" w:cs="Times New Roman"/>
          <w:i/>
        </w:rPr>
        <w:t>,</w:t>
      </w:r>
      <w:r>
        <w:rPr>
          <w:rFonts w:ascii="Book Antiqua" w:hAnsi="Book Antiqua" w:cs="Times New Roman"/>
          <w:i/>
        </w:rPr>
        <w:t xml:space="preserve"> </w:t>
      </w:r>
      <w:r w:rsidRPr="0062722A">
        <w:rPr>
          <w:rFonts w:ascii="Book Antiqua" w:hAnsi="Book Antiqua" w:cs="Times New Roman"/>
          <w:i/>
        </w:rPr>
        <w:t>definido en el Plan Estratégico Institucional (PEI) 202</w:t>
      </w:r>
      <w:r>
        <w:rPr>
          <w:rFonts w:ascii="Book Antiqua" w:hAnsi="Book Antiqua" w:cs="Times New Roman"/>
          <w:i/>
        </w:rPr>
        <w:t>3</w:t>
      </w:r>
      <w:r w:rsidRPr="0062722A">
        <w:rPr>
          <w:rFonts w:ascii="Book Antiqua" w:hAnsi="Book Antiqua" w:cs="Times New Roman"/>
          <w:i/>
        </w:rPr>
        <w:t>-20</w:t>
      </w:r>
      <w:r>
        <w:rPr>
          <w:rFonts w:ascii="Book Antiqua" w:hAnsi="Book Antiqua" w:cs="Times New Roman"/>
          <w:i/>
        </w:rPr>
        <w:t>32</w:t>
      </w:r>
      <w:r w:rsidRPr="0062722A">
        <w:rPr>
          <w:rFonts w:ascii="Book Antiqua" w:hAnsi="Book Antiqua" w:cs="Times New Roman"/>
          <w:i/>
        </w:rPr>
        <w:t xml:space="preserve">, siguiente: </w:t>
      </w:r>
    </w:p>
    <w:p w14:paraId="4C6B58B8" w14:textId="77777777" w:rsidR="00E17303" w:rsidRDefault="00E17303" w:rsidP="00054C38">
      <w:pPr>
        <w:spacing w:line="276" w:lineRule="auto"/>
        <w:jc w:val="both"/>
        <w:rPr>
          <w:rFonts w:ascii="Book Antiqua" w:hAnsi="Book Antiqua" w:cs="Times New Roman"/>
          <w:i/>
        </w:rPr>
      </w:pPr>
    </w:p>
    <w:p w14:paraId="2D4D5482" w14:textId="77777777" w:rsidR="00E17303" w:rsidRDefault="00E17303" w:rsidP="00054C38">
      <w:pPr>
        <w:spacing w:line="276" w:lineRule="auto"/>
        <w:jc w:val="both"/>
        <w:rPr>
          <w:rFonts w:ascii="Book Antiqua" w:hAnsi="Book Antiqua" w:cs="Times New Roman"/>
          <w:i/>
        </w:rPr>
      </w:pPr>
    </w:p>
    <w:p w14:paraId="2B7A1510" w14:textId="77777777" w:rsidR="00E17303" w:rsidRDefault="00E17303" w:rsidP="00054C38">
      <w:pPr>
        <w:spacing w:line="276" w:lineRule="auto"/>
        <w:jc w:val="both"/>
        <w:rPr>
          <w:rFonts w:ascii="Book Antiqua" w:hAnsi="Book Antiqua" w:cs="Times New Roman"/>
          <w:i/>
        </w:rPr>
      </w:pPr>
    </w:p>
    <w:p w14:paraId="21F7FD42" w14:textId="77777777" w:rsidR="00E17303" w:rsidRPr="0062722A" w:rsidRDefault="00E17303" w:rsidP="00054C38">
      <w:pPr>
        <w:spacing w:line="276" w:lineRule="auto"/>
        <w:jc w:val="both"/>
        <w:rPr>
          <w:rFonts w:ascii="Book Antiqua" w:hAnsi="Book Antiqua" w:cs="Times New Roman"/>
          <w:i/>
        </w:rPr>
      </w:pPr>
    </w:p>
    <w:p w14:paraId="21D29DF5" w14:textId="41BB8326" w:rsidR="00054C38" w:rsidRDefault="00054C38" w:rsidP="00054C38">
      <w:pPr>
        <w:spacing w:line="276" w:lineRule="auto"/>
        <w:jc w:val="both"/>
        <w:rPr>
          <w:rFonts w:ascii="Book Antiqua" w:hAnsi="Book Antiqua" w:cs="Times New Roman"/>
          <w:i/>
        </w:rPr>
      </w:pPr>
      <w:r>
        <w:rPr>
          <w:rFonts w:ascii="Book Antiqua" w:hAnsi="Book Antiqua"/>
          <w:i/>
        </w:rPr>
        <w:t>“</w:t>
      </w:r>
      <w:r w:rsidRPr="00F36E2E">
        <w:rPr>
          <w:rFonts w:ascii="Book Antiqua" w:hAnsi="Book Antiqua"/>
          <w:i/>
        </w:rPr>
        <w:t>Para el 2032, se ha incrementado en 50% los programas que implementaron el enfoque de equidad entre hombres y mujeres que permite el cierre de brechas existentes (de 0 en 2021 a 36 en 2032 de 72 identificados.</w:t>
      </w:r>
      <w:r>
        <w:rPr>
          <w:rFonts w:ascii="Book Antiqua" w:hAnsi="Book Antiqua"/>
          <w:i/>
        </w:rPr>
        <w:t>”</w:t>
      </w:r>
    </w:p>
    <w:p w14:paraId="523522AF" w14:textId="77777777" w:rsidR="00E17303" w:rsidRDefault="00E17303" w:rsidP="00054C38">
      <w:pPr>
        <w:spacing w:line="276" w:lineRule="auto"/>
        <w:jc w:val="both"/>
        <w:rPr>
          <w:rFonts w:ascii="Book Antiqua" w:hAnsi="Book Antiqua" w:cs="Times New Roman"/>
          <w:i/>
        </w:rPr>
      </w:pPr>
    </w:p>
    <w:p w14:paraId="280289A9" w14:textId="3D0A3008" w:rsidR="00054C38" w:rsidRPr="0062722A" w:rsidRDefault="00054C38" w:rsidP="00054C38">
      <w:pPr>
        <w:spacing w:line="276" w:lineRule="auto"/>
        <w:jc w:val="both"/>
        <w:rPr>
          <w:rFonts w:ascii="Book Antiqua" w:hAnsi="Book Antiqua" w:cs="Times New Roman"/>
          <w:i/>
        </w:rPr>
      </w:pPr>
      <w:r w:rsidRPr="0062722A">
        <w:rPr>
          <w:rFonts w:ascii="Book Antiqua" w:hAnsi="Book Antiqua" w:cs="Times New Roman"/>
          <w:i/>
        </w:rPr>
        <w:t>Es preciso indicar que, la Seprem no tiene la responsabilidad directa del cumplimiento de resultados estratégicos de desarrollo</w:t>
      </w:r>
      <w:r w:rsidR="00DB0E4D">
        <w:rPr>
          <w:rFonts w:ascii="Book Antiqua" w:hAnsi="Book Antiqua" w:cs="Times New Roman"/>
          <w:i/>
        </w:rPr>
        <w:t>,</w:t>
      </w:r>
      <w:r w:rsidRPr="0062722A">
        <w:rPr>
          <w:rFonts w:ascii="Book Antiqua" w:hAnsi="Book Antiqua" w:cs="Times New Roman"/>
          <w:i/>
        </w:rPr>
        <w:t xml:space="preserve"> no obstante, la implementación de la Política Nacional de Promoción y Desarrollo Integral de las Mujeres (PNPDIM) y el Plan de Equidad de Oportunidades (PEO) 2008-2023, se articula de manera transversal</w:t>
      </w:r>
      <w:r w:rsidR="001A1F30">
        <w:rPr>
          <w:rFonts w:ascii="Book Antiqua" w:hAnsi="Book Antiqua" w:cs="Times New Roman"/>
          <w:i/>
        </w:rPr>
        <w:t>.</w:t>
      </w:r>
    </w:p>
    <w:p w14:paraId="0467E114" w14:textId="77777777" w:rsidR="00054C38" w:rsidRPr="0062722A" w:rsidRDefault="00054C38" w:rsidP="00054C38">
      <w:pPr>
        <w:spacing w:line="276" w:lineRule="auto"/>
        <w:jc w:val="both"/>
        <w:rPr>
          <w:rFonts w:ascii="Book Antiqua" w:hAnsi="Book Antiqua" w:cs="Times New Roman"/>
          <w:i/>
        </w:rPr>
      </w:pPr>
    </w:p>
    <w:p w14:paraId="20327716" w14:textId="77777777" w:rsidR="00054C38" w:rsidRPr="0062722A" w:rsidRDefault="00054C38" w:rsidP="00054C38">
      <w:pPr>
        <w:spacing w:line="276" w:lineRule="auto"/>
        <w:jc w:val="both"/>
        <w:rPr>
          <w:rFonts w:ascii="Book Antiqua" w:hAnsi="Book Antiqua" w:cs="Times New Roman"/>
          <w:i/>
        </w:rPr>
      </w:pPr>
      <w:r w:rsidRPr="0062722A">
        <w:rPr>
          <w:rFonts w:ascii="Book Antiqua" w:hAnsi="Book Antiqua" w:cs="Times New Roman"/>
          <w:i/>
        </w:rPr>
        <w:t>Por lo indicado, para lograr el resultado institucional, la Secretaría entrega producción intermedia, como parte de la cadena de producción a nivel nacional, por consiguiente, sus productos están dirigidos a las instituciones y no directamente a los ciudadanos.</w:t>
      </w:r>
    </w:p>
    <w:p w14:paraId="4B0F5105" w14:textId="77777777" w:rsidR="00054C38" w:rsidRPr="0062722A" w:rsidRDefault="00054C38" w:rsidP="00054C38">
      <w:pPr>
        <w:spacing w:line="276" w:lineRule="auto"/>
        <w:jc w:val="both"/>
        <w:rPr>
          <w:rFonts w:ascii="Book Antiqua" w:hAnsi="Book Antiqua" w:cs="Times New Roman"/>
          <w:i/>
        </w:rPr>
      </w:pPr>
    </w:p>
    <w:p w14:paraId="25A41857" w14:textId="21994928" w:rsidR="00054C38" w:rsidRPr="0062722A" w:rsidRDefault="00054C38" w:rsidP="00054C38">
      <w:pPr>
        <w:spacing w:line="276" w:lineRule="auto"/>
        <w:jc w:val="both"/>
        <w:rPr>
          <w:rFonts w:ascii="Book Antiqua" w:hAnsi="Book Antiqua" w:cs="Times New Roman"/>
          <w:i/>
        </w:rPr>
      </w:pPr>
      <w:r w:rsidRPr="0062722A">
        <w:rPr>
          <w:rFonts w:ascii="Book Antiqua" w:hAnsi="Book Antiqua" w:cs="Times New Roman"/>
          <w:i/>
        </w:rPr>
        <w:t xml:space="preserve">De esa cuenta la población objetivo está constituida por las entidades de gobierno central, local y </w:t>
      </w:r>
      <w:r w:rsidR="006708FD" w:rsidRPr="00DB0E4D">
        <w:rPr>
          <w:rFonts w:ascii="Book Antiqua" w:hAnsi="Book Antiqua" w:cs="Times New Roman"/>
          <w:i/>
        </w:rPr>
        <w:t>C</w:t>
      </w:r>
      <w:r w:rsidRPr="00DB0E4D">
        <w:rPr>
          <w:rFonts w:ascii="Book Antiqua" w:hAnsi="Book Antiqua" w:cs="Times New Roman"/>
          <w:i/>
        </w:rPr>
        <w:t xml:space="preserve">onsejos de </w:t>
      </w:r>
      <w:r w:rsidR="006708FD" w:rsidRPr="00DB0E4D">
        <w:rPr>
          <w:rFonts w:ascii="Book Antiqua" w:hAnsi="Book Antiqua" w:cs="Times New Roman"/>
          <w:i/>
        </w:rPr>
        <w:t>D</w:t>
      </w:r>
      <w:r w:rsidRPr="00DB0E4D">
        <w:rPr>
          <w:rFonts w:ascii="Book Antiqua" w:hAnsi="Book Antiqua" w:cs="Times New Roman"/>
          <w:i/>
        </w:rPr>
        <w:t>esarrollo</w:t>
      </w:r>
      <w:r w:rsidR="006708FD" w:rsidRPr="00DB0E4D">
        <w:rPr>
          <w:rFonts w:ascii="Book Antiqua" w:hAnsi="Book Antiqua" w:cs="Times New Roman"/>
          <w:i/>
        </w:rPr>
        <w:t xml:space="preserve"> </w:t>
      </w:r>
      <w:r w:rsidR="00020484" w:rsidRPr="00DB0E4D">
        <w:rPr>
          <w:rFonts w:ascii="Book Antiqua" w:hAnsi="Book Antiqua" w:cs="Times New Roman"/>
          <w:i/>
        </w:rPr>
        <w:t>U</w:t>
      </w:r>
      <w:r w:rsidR="006708FD" w:rsidRPr="00DB0E4D">
        <w:rPr>
          <w:rFonts w:ascii="Book Antiqua" w:hAnsi="Book Antiqua" w:cs="Times New Roman"/>
          <w:i/>
        </w:rPr>
        <w:t xml:space="preserve">rbano y </w:t>
      </w:r>
      <w:r w:rsidR="00020484" w:rsidRPr="00DB0E4D">
        <w:rPr>
          <w:rFonts w:ascii="Book Antiqua" w:hAnsi="Book Antiqua" w:cs="Times New Roman"/>
          <w:i/>
        </w:rPr>
        <w:t>R</w:t>
      </w:r>
      <w:r w:rsidR="006708FD" w:rsidRPr="00DB0E4D">
        <w:rPr>
          <w:rFonts w:ascii="Book Antiqua" w:hAnsi="Book Antiqua" w:cs="Times New Roman"/>
          <w:i/>
        </w:rPr>
        <w:t>ural</w:t>
      </w:r>
      <w:r w:rsidRPr="0062722A">
        <w:rPr>
          <w:rFonts w:ascii="Book Antiqua" w:hAnsi="Book Antiqua" w:cs="Times New Roman"/>
          <w:i/>
        </w:rPr>
        <w:t>, a las que se asesora y coordina con el propósito que éstas incorporen e implementen intervenciones para lograr la disminución de las brechas de inequidad entre hombres y mujeres.</w:t>
      </w:r>
    </w:p>
    <w:p w14:paraId="23468E2F" w14:textId="77777777" w:rsidR="00054C38" w:rsidRPr="0062722A" w:rsidRDefault="00054C38" w:rsidP="00054C38">
      <w:pPr>
        <w:spacing w:line="276" w:lineRule="auto"/>
        <w:jc w:val="both"/>
        <w:rPr>
          <w:rFonts w:ascii="Book Antiqua" w:hAnsi="Book Antiqua" w:cs="Times New Roman"/>
          <w:i/>
        </w:rPr>
      </w:pPr>
    </w:p>
    <w:p w14:paraId="1E668CBD" w14:textId="10AD1CF9" w:rsidR="00054C38" w:rsidRPr="00287171" w:rsidRDefault="00054C38" w:rsidP="00287171">
      <w:pPr>
        <w:spacing w:after="160" w:line="278" w:lineRule="auto"/>
        <w:rPr>
          <w:rFonts w:ascii="Book Antiqua" w:hAnsi="Book Antiqua"/>
          <w:b/>
          <w:bCs/>
          <w:i/>
          <w:iCs/>
        </w:rPr>
      </w:pPr>
      <w:bookmarkStart w:id="13" w:name="_Toc99009987"/>
      <w:r w:rsidRPr="00287171">
        <w:rPr>
          <w:rFonts w:ascii="Book Antiqua" w:hAnsi="Book Antiqua"/>
          <w:b/>
          <w:bCs/>
          <w:i/>
          <w:iCs/>
        </w:rPr>
        <w:t>Producción Institucional</w:t>
      </w:r>
      <w:bookmarkEnd w:id="13"/>
    </w:p>
    <w:p w14:paraId="5F31E0EF" w14:textId="2C60FBAE" w:rsidR="00054C38" w:rsidRPr="0062722A" w:rsidRDefault="00054C38" w:rsidP="00054C38">
      <w:pPr>
        <w:spacing w:line="276" w:lineRule="auto"/>
        <w:jc w:val="both"/>
        <w:rPr>
          <w:rFonts w:ascii="Book Antiqua" w:hAnsi="Book Antiqua" w:cs="Times New Roman"/>
          <w:i/>
        </w:rPr>
      </w:pPr>
      <w:r w:rsidRPr="0062722A">
        <w:rPr>
          <w:rFonts w:ascii="Book Antiqua" w:hAnsi="Book Antiqua" w:cs="Times New Roman"/>
          <w:i/>
        </w:rPr>
        <w:t>Para el año 202</w:t>
      </w:r>
      <w:r w:rsidR="007F4E31">
        <w:rPr>
          <w:rFonts w:ascii="Book Antiqua" w:hAnsi="Book Antiqua" w:cs="Times New Roman"/>
          <w:i/>
        </w:rPr>
        <w:t>4</w:t>
      </w:r>
      <w:r w:rsidRPr="0062722A">
        <w:rPr>
          <w:rFonts w:ascii="Book Antiqua" w:hAnsi="Book Antiqua" w:cs="Times New Roman"/>
          <w:i/>
        </w:rPr>
        <w:t xml:space="preserve"> la función sustantiva de la Seprem está definida programáticamente en el producto </w:t>
      </w:r>
      <w:r>
        <w:rPr>
          <w:rFonts w:ascii="Book Antiqua" w:hAnsi="Book Antiqua" w:cs="Times New Roman"/>
          <w:i/>
        </w:rPr>
        <w:t xml:space="preserve">y </w:t>
      </w:r>
      <w:r w:rsidRPr="00686817">
        <w:rPr>
          <w:rFonts w:ascii="Book Antiqua" w:hAnsi="Book Antiqua" w:cs="Times New Roman"/>
          <w:i/>
        </w:rPr>
        <w:t xml:space="preserve">subproductos institucionales, </w:t>
      </w:r>
      <w:r w:rsidRPr="0062722A">
        <w:rPr>
          <w:rFonts w:ascii="Book Antiqua" w:hAnsi="Book Antiqua" w:cs="Times New Roman"/>
          <w:i/>
        </w:rPr>
        <w:t>mismo</w:t>
      </w:r>
      <w:r>
        <w:rPr>
          <w:rFonts w:ascii="Book Antiqua" w:hAnsi="Book Antiqua" w:cs="Times New Roman"/>
          <w:i/>
        </w:rPr>
        <w:t>s</w:t>
      </w:r>
      <w:r w:rsidRPr="0062722A">
        <w:rPr>
          <w:rFonts w:ascii="Book Antiqua" w:hAnsi="Book Antiqua" w:cs="Times New Roman"/>
          <w:i/>
        </w:rPr>
        <w:t xml:space="preserve"> que se relaciona</w:t>
      </w:r>
      <w:r>
        <w:rPr>
          <w:rFonts w:ascii="Book Antiqua" w:hAnsi="Book Antiqua" w:cs="Times New Roman"/>
          <w:i/>
        </w:rPr>
        <w:t xml:space="preserve">n </w:t>
      </w:r>
      <w:r w:rsidRPr="0062722A">
        <w:rPr>
          <w:rFonts w:ascii="Book Antiqua" w:hAnsi="Book Antiqua" w:cs="Times New Roman"/>
          <w:i/>
        </w:rPr>
        <w:t>con el resultado formulado.</w:t>
      </w:r>
    </w:p>
    <w:p w14:paraId="178F2C75" w14:textId="77777777" w:rsidR="00054C38" w:rsidRDefault="00054C38" w:rsidP="00054C38">
      <w:pPr>
        <w:contextualSpacing/>
        <w:rPr>
          <w:rFonts w:ascii="Book Antiqua" w:hAnsi="Book Antiqua" w:cs="Times New Roman"/>
          <w:i/>
          <w:highlight w:val="yellow"/>
        </w:rPr>
      </w:pPr>
    </w:p>
    <w:p w14:paraId="6AA9531A" w14:textId="38C7365F" w:rsidR="00054C38" w:rsidRDefault="00054C38" w:rsidP="002F30BD">
      <w:pPr>
        <w:numPr>
          <w:ilvl w:val="0"/>
          <w:numId w:val="11"/>
        </w:numPr>
        <w:spacing w:after="160" w:line="278" w:lineRule="auto"/>
        <w:jc w:val="both"/>
        <w:rPr>
          <w:rFonts w:ascii="Book Antiqua" w:hAnsi="Book Antiqua"/>
          <w:i/>
        </w:rPr>
      </w:pPr>
      <w:r w:rsidRPr="00686817">
        <w:rPr>
          <w:rFonts w:ascii="Book Antiqua" w:hAnsi="Book Antiqua" w:cs="Times New Roman"/>
          <w:b/>
          <w:bCs/>
          <w:i/>
        </w:rPr>
        <w:t>Produc</w:t>
      </w:r>
      <w:r w:rsidRPr="00674D48">
        <w:rPr>
          <w:rFonts w:ascii="Book Antiqua" w:hAnsi="Book Antiqua" w:cs="Times New Roman"/>
          <w:b/>
          <w:bCs/>
          <w:i/>
        </w:rPr>
        <w:t>t</w:t>
      </w:r>
      <w:r w:rsidRPr="00647F6F">
        <w:rPr>
          <w:rFonts w:ascii="Book Antiqua" w:hAnsi="Book Antiqua" w:cs="Times New Roman"/>
          <w:b/>
          <w:bCs/>
          <w:i/>
        </w:rPr>
        <w:t>o</w:t>
      </w:r>
      <w:r w:rsidRPr="00686817">
        <w:rPr>
          <w:rFonts w:ascii="Book Antiqua" w:hAnsi="Book Antiqua" w:cs="Times New Roman"/>
          <w:i/>
        </w:rPr>
        <w:t xml:space="preserve">:  </w:t>
      </w:r>
      <w:r w:rsidRPr="00686817">
        <w:rPr>
          <w:rFonts w:ascii="Book Antiqua" w:hAnsi="Book Antiqua"/>
          <w:i/>
        </w:rPr>
        <w:t xml:space="preserve">Entidades de gobierno central, local y </w:t>
      </w:r>
      <w:r w:rsidR="006708FD" w:rsidRPr="00DB0E4D">
        <w:rPr>
          <w:rFonts w:ascii="Book Antiqua" w:hAnsi="Book Antiqua"/>
          <w:i/>
        </w:rPr>
        <w:t>C</w:t>
      </w:r>
      <w:r w:rsidRPr="00DB0E4D">
        <w:rPr>
          <w:rFonts w:ascii="Book Antiqua" w:hAnsi="Book Antiqua"/>
          <w:i/>
        </w:rPr>
        <w:t xml:space="preserve">onsejos de </w:t>
      </w:r>
      <w:r w:rsidR="006708FD" w:rsidRPr="00DB0E4D">
        <w:rPr>
          <w:rFonts w:ascii="Book Antiqua" w:hAnsi="Book Antiqua"/>
          <w:i/>
        </w:rPr>
        <w:t>D</w:t>
      </w:r>
      <w:r w:rsidRPr="00DB0E4D">
        <w:rPr>
          <w:rFonts w:ascii="Book Antiqua" w:hAnsi="Book Antiqua"/>
          <w:i/>
        </w:rPr>
        <w:t xml:space="preserve">esarrollo </w:t>
      </w:r>
      <w:r w:rsidR="006708FD" w:rsidRPr="00DB0E4D">
        <w:rPr>
          <w:rFonts w:ascii="Book Antiqua" w:hAnsi="Book Antiqua"/>
          <w:i/>
        </w:rPr>
        <w:t>U</w:t>
      </w:r>
      <w:r w:rsidRPr="00DB0E4D">
        <w:rPr>
          <w:rFonts w:ascii="Book Antiqua" w:hAnsi="Book Antiqua"/>
          <w:i/>
        </w:rPr>
        <w:t xml:space="preserve">rbano y </w:t>
      </w:r>
      <w:r w:rsidR="006708FD" w:rsidRPr="00DB0E4D">
        <w:rPr>
          <w:rFonts w:ascii="Book Antiqua" w:hAnsi="Book Antiqua"/>
          <w:i/>
        </w:rPr>
        <w:t>R</w:t>
      </w:r>
      <w:r w:rsidRPr="00DB0E4D">
        <w:rPr>
          <w:rFonts w:ascii="Book Antiqua" w:hAnsi="Book Antiqua"/>
          <w:i/>
        </w:rPr>
        <w:t>ural con asistencia técnica para la implementación de lin</w:t>
      </w:r>
      <w:r w:rsidRPr="00686817">
        <w:rPr>
          <w:rFonts w:ascii="Book Antiqua" w:hAnsi="Book Antiqua"/>
          <w:i/>
        </w:rPr>
        <w:t xml:space="preserve">eamientos de políticas, normativas y generación de estadísticas en el marco de equidad entre hombres y mujeres y control de convencionalidad. </w:t>
      </w:r>
    </w:p>
    <w:p w14:paraId="7CE5FB09" w14:textId="3F274329" w:rsidR="00054C38" w:rsidRDefault="00054C38" w:rsidP="002F30BD">
      <w:pPr>
        <w:numPr>
          <w:ilvl w:val="0"/>
          <w:numId w:val="11"/>
        </w:numPr>
        <w:spacing w:before="240" w:after="240" w:line="278" w:lineRule="auto"/>
        <w:jc w:val="both"/>
        <w:rPr>
          <w:rFonts w:ascii="Book Antiqua" w:hAnsi="Book Antiqua" w:cs="Times New Roman"/>
          <w:i/>
        </w:rPr>
      </w:pPr>
      <w:r w:rsidRPr="001A1F30">
        <w:rPr>
          <w:rFonts w:ascii="Book Antiqua" w:hAnsi="Book Antiqua" w:cs="Times New Roman"/>
          <w:b/>
          <w:bCs/>
          <w:i/>
        </w:rPr>
        <w:t xml:space="preserve">Subproducto: </w:t>
      </w:r>
      <w:r w:rsidRPr="001A1F30">
        <w:rPr>
          <w:rFonts w:ascii="Book Antiqua" w:hAnsi="Book Antiqua" w:cs="Times New Roman"/>
          <w:i/>
        </w:rPr>
        <w:t xml:space="preserve">Entidades de gobierno central, local </w:t>
      </w:r>
      <w:r w:rsidRPr="00DB0E4D">
        <w:rPr>
          <w:rFonts w:ascii="Book Antiqua" w:hAnsi="Book Antiqua" w:cs="Times New Roman"/>
          <w:i/>
        </w:rPr>
        <w:t xml:space="preserve">y </w:t>
      </w:r>
      <w:r w:rsidR="006708FD" w:rsidRPr="00DB0E4D">
        <w:rPr>
          <w:rFonts w:ascii="Book Antiqua" w:hAnsi="Book Antiqua" w:cs="Times New Roman"/>
          <w:i/>
        </w:rPr>
        <w:t>C</w:t>
      </w:r>
      <w:r w:rsidRPr="00DB0E4D">
        <w:rPr>
          <w:rFonts w:ascii="Book Antiqua" w:hAnsi="Book Antiqua" w:cs="Times New Roman"/>
          <w:i/>
        </w:rPr>
        <w:t xml:space="preserve">onsejos de </w:t>
      </w:r>
      <w:r w:rsidR="006708FD" w:rsidRPr="00DB0E4D">
        <w:rPr>
          <w:rFonts w:ascii="Book Antiqua" w:hAnsi="Book Antiqua" w:cs="Times New Roman"/>
          <w:i/>
        </w:rPr>
        <w:t>D</w:t>
      </w:r>
      <w:r w:rsidRPr="00DB0E4D">
        <w:rPr>
          <w:rFonts w:ascii="Book Antiqua" w:hAnsi="Book Antiqua" w:cs="Times New Roman"/>
          <w:i/>
        </w:rPr>
        <w:t>esarrollo</w:t>
      </w:r>
      <w:r w:rsidR="006708FD" w:rsidRPr="00DB0E4D">
        <w:rPr>
          <w:rFonts w:ascii="Book Antiqua" w:hAnsi="Book Antiqua" w:cs="Times New Roman"/>
          <w:i/>
        </w:rPr>
        <w:t xml:space="preserve"> U</w:t>
      </w:r>
      <w:r w:rsidRPr="00DB0E4D">
        <w:rPr>
          <w:rFonts w:ascii="Book Antiqua" w:hAnsi="Book Antiqua" w:cs="Times New Roman"/>
          <w:i/>
        </w:rPr>
        <w:t xml:space="preserve">rbano y </w:t>
      </w:r>
      <w:r w:rsidR="006708FD" w:rsidRPr="00DB0E4D">
        <w:rPr>
          <w:rFonts w:ascii="Book Antiqua" w:hAnsi="Book Antiqua" w:cs="Times New Roman"/>
          <w:i/>
        </w:rPr>
        <w:t>R</w:t>
      </w:r>
      <w:r w:rsidRPr="00DB0E4D">
        <w:rPr>
          <w:rFonts w:ascii="Book Antiqua" w:hAnsi="Book Antiqua" w:cs="Times New Roman"/>
          <w:i/>
        </w:rPr>
        <w:t>ural con asistencia técnica para la implementación de lineam</w:t>
      </w:r>
      <w:r w:rsidRPr="001A1F30">
        <w:rPr>
          <w:rFonts w:ascii="Book Antiqua" w:hAnsi="Book Antiqua" w:cs="Times New Roman"/>
          <w:i/>
        </w:rPr>
        <w:t>ientos de políticas y normativas en el marco de equidad entre hombres y mujeres y control de convencionalidad</w:t>
      </w:r>
      <w:r w:rsidR="00F86410">
        <w:rPr>
          <w:rFonts w:ascii="Book Antiqua" w:hAnsi="Book Antiqua" w:cs="Times New Roman"/>
          <w:i/>
        </w:rPr>
        <w:t>.</w:t>
      </w:r>
    </w:p>
    <w:p w14:paraId="6AAFD922" w14:textId="77777777" w:rsidR="00E17303" w:rsidRDefault="00E17303" w:rsidP="00E17303">
      <w:pPr>
        <w:spacing w:before="240" w:after="240" w:line="278" w:lineRule="auto"/>
        <w:jc w:val="both"/>
        <w:rPr>
          <w:rFonts w:ascii="Book Antiqua" w:hAnsi="Book Antiqua" w:cs="Times New Roman"/>
          <w:i/>
        </w:rPr>
      </w:pPr>
    </w:p>
    <w:p w14:paraId="60456AB8" w14:textId="77777777" w:rsidR="00F86410" w:rsidRDefault="00F86410" w:rsidP="00E17303">
      <w:pPr>
        <w:spacing w:before="240" w:after="240" w:line="278" w:lineRule="auto"/>
        <w:jc w:val="both"/>
        <w:rPr>
          <w:rFonts w:ascii="Book Antiqua" w:hAnsi="Book Antiqua" w:cs="Times New Roman"/>
          <w:i/>
        </w:rPr>
      </w:pPr>
    </w:p>
    <w:p w14:paraId="01947A83" w14:textId="77777777" w:rsidR="00E17303" w:rsidRPr="001A1F30" w:rsidRDefault="00E17303" w:rsidP="00E17303">
      <w:pPr>
        <w:spacing w:before="240" w:after="240" w:line="278" w:lineRule="auto"/>
        <w:jc w:val="both"/>
        <w:rPr>
          <w:rFonts w:ascii="Book Antiqua" w:hAnsi="Book Antiqua" w:cs="Times New Roman"/>
          <w:i/>
        </w:rPr>
      </w:pPr>
    </w:p>
    <w:p w14:paraId="60B8F700" w14:textId="2B6B8E04" w:rsidR="00054C38" w:rsidRPr="00E17303" w:rsidRDefault="00054C38" w:rsidP="00054C38">
      <w:pPr>
        <w:numPr>
          <w:ilvl w:val="0"/>
          <w:numId w:val="11"/>
        </w:numPr>
        <w:spacing w:before="240" w:after="240" w:line="278" w:lineRule="auto"/>
        <w:jc w:val="both"/>
        <w:rPr>
          <w:rFonts w:ascii="Book Antiqua" w:hAnsi="Book Antiqua" w:cs="Times New Roman"/>
          <w:i/>
        </w:rPr>
      </w:pPr>
      <w:r w:rsidRPr="001A1F30">
        <w:rPr>
          <w:rFonts w:ascii="Book Antiqua" w:hAnsi="Book Antiqua" w:cs="Times New Roman"/>
          <w:b/>
          <w:bCs/>
          <w:i/>
        </w:rPr>
        <w:t xml:space="preserve">Subproducto:  </w:t>
      </w:r>
      <w:r w:rsidRPr="001A1F30">
        <w:rPr>
          <w:rFonts w:ascii="Book Antiqua" w:hAnsi="Book Antiqua" w:cs="Times New Roman"/>
          <w:i/>
        </w:rPr>
        <w:t>Entidades públicas asistidas técnicamente para la generación de estadísticas que evidencien brechas de inequidad entre hombres y mujeres.</w:t>
      </w:r>
    </w:p>
    <w:p w14:paraId="32E8967D" w14:textId="0FF26FCE" w:rsidR="00054C38" w:rsidRPr="00686817" w:rsidRDefault="00054C38" w:rsidP="00054C38">
      <w:pPr>
        <w:jc w:val="both"/>
        <w:rPr>
          <w:rFonts w:ascii="Book Antiqua" w:hAnsi="Book Antiqua"/>
          <w:i/>
        </w:rPr>
      </w:pPr>
      <w:r w:rsidRPr="00686817">
        <w:rPr>
          <w:rFonts w:ascii="Book Antiqua" w:hAnsi="Book Antiqua"/>
          <w:i/>
        </w:rPr>
        <w:t>Este producto sustantivo, según mandato, contribuirá a que, por medio de la asistencia</w:t>
      </w:r>
      <w:r>
        <w:rPr>
          <w:rFonts w:ascii="Book Antiqua" w:hAnsi="Book Antiqua"/>
          <w:i/>
        </w:rPr>
        <w:t xml:space="preserve"> </w:t>
      </w:r>
      <w:r w:rsidRPr="00686817">
        <w:rPr>
          <w:rFonts w:ascii="Book Antiqua" w:hAnsi="Book Antiqua"/>
          <w:i/>
        </w:rPr>
        <w:t xml:space="preserve">técnica y metodológica las instituciones y entidades implementen la Política Nacional de Promoción y Desarrollo Integral de las Mujeres (PNPDIM) y el Plan de Equidad de Oportunidades (PEO) 2008-2023, en la ejecución de programas, proyectos y actividades. </w:t>
      </w:r>
    </w:p>
    <w:p w14:paraId="1FE20AEF" w14:textId="77777777" w:rsidR="00054C38" w:rsidRPr="00686817" w:rsidRDefault="00054C38" w:rsidP="00054C38">
      <w:pPr>
        <w:spacing w:line="276" w:lineRule="auto"/>
        <w:jc w:val="both"/>
        <w:rPr>
          <w:rFonts w:ascii="Book Antiqua" w:hAnsi="Book Antiqua"/>
          <w:i/>
        </w:rPr>
      </w:pPr>
    </w:p>
    <w:p w14:paraId="3DCA3E47" w14:textId="4F2054D3" w:rsidR="00054C38" w:rsidRPr="0062722A" w:rsidRDefault="00054C38" w:rsidP="00054C38">
      <w:pPr>
        <w:spacing w:after="120" w:line="276" w:lineRule="auto"/>
        <w:jc w:val="both"/>
        <w:rPr>
          <w:rFonts w:ascii="Book Antiqua" w:hAnsi="Book Antiqua" w:cs="Arial"/>
          <w:i/>
          <w:color w:val="000000" w:themeColor="text1"/>
        </w:rPr>
      </w:pPr>
      <w:r w:rsidRPr="0062722A">
        <w:rPr>
          <w:rFonts w:ascii="Book Antiqua" w:hAnsi="Book Antiqua" w:cs="Arial"/>
          <w:i/>
          <w:color w:val="000000" w:themeColor="text1"/>
        </w:rPr>
        <w:t xml:space="preserve">Para este fin, </w:t>
      </w:r>
      <w:r w:rsidR="005D67E0">
        <w:rPr>
          <w:rFonts w:ascii="Book Antiqua" w:hAnsi="Book Antiqua" w:cs="Arial"/>
          <w:i/>
          <w:color w:val="000000" w:themeColor="text1"/>
        </w:rPr>
        <w:t>se brindará</w:t>
      </w:r>
      <w:r w:rsidRPr="0062722A">
        <w:rPr>
          <w:rFonts w:ascii="Book Antiqua" w:hAnsi="Book Antiqua" w:cs="Arial"/>
          <w:i/>
          <w:color w:val="000000" w:themeColor="text1"/>
        </w:rPr>
        <w:t xml:space="preserve"> asesoría técnica a entidades de la administración pública y gobiernos locales, incluyendo al Sistema de Consejos de Desarrollo Urbano y Rural (SCDUR), espacio donde se coordina con las representantes de las organizaciones de mujeres de la sociedad civil, con la finalidad de institucionalizar la equidad entre hombres y mujeres a través de la implementación</w:t>
      </w:r>
      <w:r w:rsidR="005D67E0">
        <w:rPr>
          <w:rFonts w:ascii="Book Antiqua" w:hAnsi="Book Antiqua" w:cs="Arial"/>
          <w:i/>
          <w:color w:val="000000" w:themeColor="text1"/>
        </w:rPr>
        <w:t>, evaluación y actualización</w:t>
      </w:r>
      <w:r w:rsidRPr="0062722A">
        <w:rPr>
          <w:rFonts w:ascii="Book Antiqua" w:hAnsi="Book Antiqua" w:cs="Arial"/>
          <w:i/>
          <w:color w:val="000000" w:themeColor="text1"/>
        </w:rPr>
        <w:t xml:space="preserve"> de la PNPDIM.</w:t>
      </w:r>
    </w:p>
    <w:p w14:paraId="12C40043" w14:textId="67F287CD" w:rsidR="00054C38" w:rsidRPr="00E40230" w:rsidRDefault="00F86410" w:rsidP="00054C38">
      <w:pPr>
        <w:spacing w:after="120" w:line="276" w:lineRule="auto"/>
        <w:jc w:val="both"/>
        <w:rPr>
          <w:rFonts w:ascii="Book Antiqua" w:hAnsi="Book Antiqua" w:cs="Arial"/>
          <w:i/>
          <w:color w:val="000000" w:themeColor="text1"/>
        </w:rPr>
      </w:pPr>
      <w:r>
        <w:rPr>
          <w:rFonts w:ascii="Book Antiqua" w:hAnsi="Book Antiqua" w:cs="Arial"/>
          <w:i/>
          <w:color w:val="000000" w:themeColor="text1"/>
        </w:rPr>
        <w:t>La</w:t>
      </w:r>
      <w:r w:rsidR="00054C38" w:rsidRPr="0062722A">
        <w:rPr>
          <w:rFonts w:ascii="Book Antiqua" w:hAnsi="Book Antiqua" w:cs="Arial"/>
          <w:i/>
          <w:color w:val="000000" w:themeColor="text1"/>
        </w:rPr>
        <w:t xml:space="preserve"> Seprem ha identificado </w:t>
      </w:r>
      <w:r w:rsidR="002F30BD">
        <w:rPr>
          <w:rFonts w:ascii="Book Antiqua" w:hAnsi="Book Antiqua" w:cs="Arial"/>
          <w:i/>
          <w:color w:val="000000" w:themeColor="text1"/>
        </w:rPr>
        <w:t>siete</w:t>
      </w:r>
      <w:r w:rsidR="00054C38" w:rsidRPr="0062722A">
        <w:rPr>
          <w:rFonts w:ascii="Book Antiqua" w:hAnsi="Book Antiqua" w:cs="Arial"/>
          <w:i/>
          <w:color w:val="000000" w:themeColor="text1"/>
        </w:rPr>
        <w:t xml:space="preserve"> temas priorizados, siendo ellos:  </w:t>
      </w:r>
    </w:p>
    <w:p w14:paraId="278C3DD2" w14:textId="78994405" w:rsidR="002C38E8" w:rsidRDefault="002C38E8" w:rsidP="00054C38">
      <w:pPr>
        <w:numPr>
          <w:ilvl w:val="0"/>
          <w:numId w:val="5"/>
        </w:numPr>
        <w:spacing w:after="160" w:line="276" w:lineRule="auto"/>
        <w:jc w:val="both"/>
        <w:rPr>
          <w:rFonts w:ascii="Book Antiqua" w:hAnsi="Book Antiqua" w:cs="Arial"/>
          <w:i/>
          <w:color w:val="000000" w:themeColor="text1"/>
        </w:rPr>
      </w:pPr>
      <w:r>
        <w:rPr>
          <w:rFonts w:ascii="Book Antiqua" w:hAnsi="Book Antiqua" w:cs="Arial"/>
          <w:i/>
          <w:color w:val="000000" w:themeColor="text1"/>
        </w:rPr>
        <w:t>Salud</w:t>
      </w:r>
    </w:p>
    <w:p w14:paraId="0D2AD4BC" w14:textId="0C4BF632" w:rsidR="002C38E8" w:rsidRDefault="002C38E8" w:rsidP="00054C38">
      <w:pPr>
        <w:numPr>
          <w:ilvl w:val="0"/>
          <w:numId w:val="5"/>
        </w:numPr>
        <w:spacing w:after="160" w:line="276" w:lineRule="auto"/>
        <w:jc w:val="both"/>
        <w:rPr>
          <w:rFonts w:ascii="Book Antiqua" w:hAnsi="Book Antiqua" w:cs="Arial"/>
          <w:i/>
          <w:color w:val="000000" w:themeColor="text1"/>
        </w:rPr>
      </w:pPr>
      <w:r>
        <w:rPr>
          <w:rFonts w:ascii="Book Antiqua" w:hAnsi="Book Antiqua" w:cs="Arial"/>
          <w:i/>
          <w:color w:val="000000" w:themeColor="text1"/>
        </w:rPr>
        <w:t>Educación</w:t>
      </w:r>
    </w:p>
    <w:p w14:paraId="3649C25A" w14:textId="4AE16644" w:rsidR="002C38E8" w:rsidRDefault="002C38E8" w:rsidP="002C38E8">
      <w:pPr>
        <w:numPr>
          <w:ilvl w:val="0"/>
          <w:numId w:val="5"/>
        </w:numPr>
        <w:spacing w:after="120" w:line="276" w:lineRule="auto"/>
        <w:jc w:val="both"/>
        <w:rPr>
          <w:rFonts w:ascii="Book Antiqua" w:hAnsi="Book Antiqua" w:cs="Arial"/>
          <w:i/>
          <w:color w:val="000000" w:themeColor="text1"/>
        </w:rPr>
      </w:pPr>
      <w:r w:rsidRPr="0062722A">
        <w:rPr>
          <w:rFonts w:ascii="Book Antiqua" w:hAnsi="Book Antiqua" w:cs="Arial"/>
          <w:i/>
          <w:color w:val="000000" w:themeColor="text1"/>
        </w:rPr>
        <w:t xml:space="preserve">Empoderamiento </w:t>
      </w:r>
      <w:r w:rsidR="00103884">
        <w:rPr>
          <w:rFonts w:ascii="Book Antiqua" w:hAnsi="Book Antiqua" w:cs="Arial"/>
          <w:i/>
          <w:color w:val="000000" w:themeColor="text1"/>
        </w:rPr>
        <w:t>e</w:t>
      </w:r>
      <w:r w:rsidRPr="0062722A">
        <w:rPr>
          <w:rFonts w:ascii="Book Antiqua" w:hAnsi="Book Antiqua" w:cs="Arial"/>
          <w:i/>
          <w:color w:val="000000" w:themeColor="text1"/>
        </w:rPr>
        <w:t>conómic</w:t>
      </w:r>
      <w:r>
        <w:rPr>
          <w:rFonts w:ascii="Book Antiqua" w:hAnsi="Book Antiqua" w:cs="Arial"/>
          <w:i/>
          <w:color w:val="000000" w:themeColor="text1"/>
        </w:rPr>
        <w:t>o</w:t>
      </w:r>
    </w:p>
    <w:p w14:paraId="684BE693" w14:textId="09E513AA" w:rsidR="002C38E8" w:rsidRDefault="002C38E8" w:rsidP="002C38E8">
      <w:pPr>
        <w:numPr>
          <w:ilvl w:val="0"/>
          <w:numId w:val="5"/>
        </w:numPr>
        <w:spacing w:after="120" w:line="276" w:lineRule="auto"/>
        <w:jc w:val="both"/>
        <w:rPr>
          <w:rFonts w:ascii="Book Antiqua" w:hAnsi="Book Antiqua" w:cs="Arial"/>
          <w:i/>
          <w:color w:val="000000" w:themeColor="text1"/>
        </w:rPr>
      </w:pPr>
      <w:r>
        <w:rPr>
          <w:rFonts w:ascii="Book Antiqua" w:hAnsi="Book Antiqua" w:cs="Arial"/>
          <w:i/>
          <w:color w:val="000000" w:themeColor="text1"/>
        </w:rPr>
        <w:t>Participación sociopolítica</w:t>
      </w:r>
    </w:p>
    <w:p w14:paraId="27632BA9" w14:textId="0FB89931" w:rsidR="002C38E8" w:rsidRPr="002C38E8" w:rsidRDefault="002C38E8" w:rsidP="002C38E8">
      <w:pPr>
        <w:numPr>
          <w:ilvl w:val="0"/>
          <w:numId w:val="5"/>
        </w:numPr>
        <w:spacing w:after="120" w:line="276" w:lineRule="auto"/>
        <w:jc w:val="both"/>
        <w:rPr>
          <w:rFonts w:ascii="Book Antiqua" w:hAnsi="Book Antiqua" w:cs="Arial"/>
          <w:i/>
          <w:color w:val="000000" w:themeColor="text1"/>
        </w:rPr>
      </w:pPr>
      <w:r>
        <w:rPr>
          <w:rFonts w:ascii="Book Antiqua" w:hAnsi="Book Antiqua" w:cs="Arial"/>
          <w:i/>
          <w:color w:val="000000" w:themeColor="text1"/>
        </w:rPr>
        <w:t>Ambiente</w:t>
      </w:r>
    </w:p>
    <w:p w14:paraId="1ACB985A" w14:textId="237CC7D0" w:rsidR="00054C38" w:rsidRDefault="00054C38" w:rsidP="00054C38">
      <w:pPr>
        <w:numPr>
          <w:ilvl w:val="0"/>
          <w:numId w:val="5"/>
        </w:numPr>
        <w:spacing w:after="160" w:line="276" w:lineRule="auto"/>
        <w:jc w:val="both"/>
        <w:rPr>
          <w:rFonts w:ascii="Book Antiqua" w:hAnsi="Book Antiqua" w:cs="Arial"/>
          <w:i/>
          <w:color w:val="000000" w:themeColor="text1"/>
        </w:rPr>
      </w:pPr>
      <w:r w:rsidRPr="0062722A">
        <w:rPr>
          <w:rFonts w:ascii="Book Antiqua" w:hAnsi="Book Antiqua" w:cs="Arial"/>
          <w:i/>
          <w:color w:val="000000" w:themeColor="text1"/>
        </w:rPr>
        <w:t xml:space="preserve">Violencia contra </w:t>
      </w:r>
      <w:r w:rsidR="002C38E8">
        <w:rPr>
          <w:rFonts w:ascii="Book Antiqua" w:hAnsi="Book Antiqua" w:cs="Arial"/>
          <w:i/>
          <w:color w:val="000000" w:themeColor="text1"/>
        </w:rPr>
        <w:t>la mujer</w:t>
      </w:r>
      <w:r w:rsidRPr="0062722A">
        <w:rPr>
          <w:rFonts w:ascii="Book Antiqua" w:hAnsi="Book Antiqua" w:cs="Arial"/>
          <w:i/>
          <w:color w:val="000000" w:themeColor="text1"/>
        </w:rPr>
        <w:t xml:space="preserve">  </w:t>
      </w:r>
    </w:p>
    <w:p w14:paraId="72910C94" w14:textId="5889BDC4" w:rsidR="002C38E8" w:rsidRDefault="002C38E8" w:rsidP="00054C38">
      <w:pPr>
        <w:numPr>
          <w:ilvl w:val="0"/>
          <w:numId w:val="5"/>
        </w:numPr>
        <w:spacing w:after="160" w:line="276" w:lineRule="auto"/>
        <w:jc w:val="both"/>
        <w:rPr>
          <w:rFonts w:ascii="Book Antiqua" w:hAnsi="Book Antiqua" w:cs="Arial"/>
          <w:i/>
          <w:color w:val="000000" w:themeColor="text1"/>
        </w:rPr>
      </w:pPr>
      <w:r>
        <w:rPr>
          <w:rFonts w:ascii="Book Antiqua" w:hAnsi="Book Antiqua" w:cs="Arial"/>
          <w:i/>
          <w:color w:val="000000" w:themeColor="text1"/>
        </w:rPr>
        <w:t>Cuidados</w:t>
      </w:r>
    </w:p>
    <w:p w14:paraId="1C6F3C1E" w14:textId="438980C9" w:rsidR="00054C38" w:rsidRPr="00287171" w:rsidRDefault="00054C38" w:rsidP="00287171">
      <w:pPr>
        <w:spacing w:after="160" w:line="278" w:lineRule="auto"/>
        <w:rPr>
          <w:rFonts w:ascii="Book Antiqua" w:hAnsi="Book Antiqua"/>
          <w:b/>
          <w:bCs/>
          <w:i/>
          <w:iCs/>
        </w:rPr>
      </w:pPr>
      <w:bookmarkStart w:id="14" w:name="_Toc99009988"/>
      <w:r w:rsidRPr="00287171">
        <w:rPr>
          <w:rFonts w:ascii="Book Antiqua" w:hAnsi="Book Antiqua"/>
          <w:b/>
          <w:bCs/>
          <w:i/>
          <w:iCs/>
        </w:rPr>
        <w:t>Procesos y líneas estratégicas</w:t>
      </w:r>
      <w:bookmarkEnd w:id="14"/>
      <w:r w:rsidRPr="00287171">
        <w:rPr>
          <w:rFonts w:ascii="Book Antiqua" w:hAnsi="Book Antiqua"/>
          <w:b/>
          <w:bCs/>
          <w:i/>
          <w:iCs/>
        </w:rPr>
        <w:t xml:space="preserve"> </w:t>
      </w:r>
    </w:p>
    <w:p w14:paraId="72621227" w14:textId="77777777" w:rsidR="00054C38" w:rsidRPr="0062722A" w:rsidRDefault="00054C38" w:rsidP="00054C38">
      <w:pPr>
        <w:jc w:val="both"/>
        <w:rPr>
          <w:rFonts w:ascii="Book Antiqua" w:hAnsi="Book Antiqua" w:cs="Times New Roman"/>
          <w:i/>
        </w:rPr>
      </w:pPr>
      <w:r w:rsidRPr="0062722A">
        <w:rPr>
          <w:rFonts w:ascii="Book Antiqua" w:hAnsi="Book Antiqua" w:cs="Times New Roman"/>
          <w:i/>
        </w:rPr>
        <w:t>En estricto apego al mandato y para el logro del resultado institucional, la Seprem ha centrado sus esfuerzos en definir procesos para institucionalizar una gestión por políticas públicas que armonice las intervenciones de la gestión pública orientadas hacia el cierre de brechas entre hombres y mujeres.</w:t>
      </w:r>
    </w:p>
    <w:p w14:paraId="375F5868" w14:textId="77777777" w:rsidR="00054C38" w:rsidRPr="0062722A" w:rsidRDefault="00054C38" w:rsidP="00054C38">
      <w:pPr>
        <w:jc w:val="both"/>
        <w:rPr>
          <w:rFonts w:ascii="Book Antiqua" w:hAnsi="Book Antiqua" w:cs="Times New Roman"/>
          <w:i/>
        </w:rPr>
      </w:pPr>
    </w:p>
    <w:p w14:paraId="5FCF5988" w14:textId="53F54B7F" w:rsidR="00054C38" w:rsidRDefault="00054C38" w:rsidP="00054C38">
      <w:pPr>
        <w:jc w:val="both"/>
        <w:rPr>
          <w:rFonts w:ascii="Book Antiqua" w:hAnsi="Book Antiqua" w:cs="Arial"/>
          <w:i/>
          <w:color w:val="000000"/>
        </w:rPr>
      </w:pPr>
      <w:r w:rsidRPr="0062722A">
        <w:rPr>
          <w:rFonts w:ascii="Book Antiqua" w:hAnsi="Book Antiqua" w:cs="Times New Roman"/>
          <w:i/>
        </w:rPr>
        <w:t xml:space="preserve">Por lo que la estrategia de implementación del </w:t>
      </w:r>
      <w:r w:rsidR="001A1F30">
        <w:rPr>
          <w:rFonts w:ascii="Book Antiqua" w:hAnsi="Book Antiqua" w:cs="Times New Roman"/>
          <w:i/>
        </w:rPr>
        <w:t>P</w:t>
      </w:r>
      <w:r w:rsidRPr="0062722A">
        <w:rPr>
          <w:rFonts w:ascii="Book Antiqua" w:hAnsi="Book Antiqua" w:cs="Times New Roman"/>
          <w:i/>
        </w:rPr>
        <w:t>rograma</w:t>
      </w:r>
      <w:r w:rsidR="001A1F30">
        <w:rPr>
          <w:rFonts w:ascii="Book Antiqua" w:hAnsi="Book Antiqua" w:cs="Times New Roman"/>
          <w:i/>
        </w:rPr>
        <w:t>:</w:t>
      </w:r>
      <w:r w:rsidRPr="0062722A">
        <w:rPr>
          <w:rFonts w:ascii="Book Antiqua" w:hAnsi="Book Antiqua" w:cs="Times New Roman"/>
          <w:i/>
        </w:rPr>
        <w:t xml:space="preserve"> </w:t>
      </w:r>
      <w:r w:rsidR="001A1F30">
        <w:rPr>
          <w:rFonts w:ascii="Book Antiqua" w:hAnsi="Book Antiqua" w:cs="Times New Roman"/>
          <w:i/>
        </w:rPr>
        <w:t>P</w:t>
      </w:r>
      <w:r w:rsidRPr="0062722A">
        <w:rPr>
          <w:rFonts w:ascii="Book Antiqua" w:hAnsi="Book Antiqua" w:cs="Times New Roman"/>
          <w:i/>
        </w:rPr>
        <w:t>romoción y desarrollo integral de las mujeres, se centra en el planteamiento establecido en el Plan Estratégico Institucional (PEI) 202</w:t>
      </w:r>
      <w:r>
        <w:rPr>
          <w:rFonts w:ascii="Book Antiqua" w:hAnsi="Book Antiqua" w:cs="Times New Roman"/>
          <w:i/>
        </w:rPr>
        <w:t>3</w:t>
      </w:r>
      <w:r w:rsidRPr="0062722A">
        <w:rPr>
          <w:rFonts w:ascii="Book Antiqua" w:hAnsi="Book Antiqua" w:cs="Times New Roman"/>
          <w:i/>
        </w:rPr>
        <w:t>-20</w:t>
      </w:r>
      <w:r>
        <w:rPr>
          <w:rFonts w:ascii="Book Antiqua" w:hAnsi="Book Antiqua" w:cs="Times New Roman"/>
          <w:i/>
        </w:rPr>
        <w:t>32</w:t>
      </w:r>
      <w:r w:rsidRPr="0062722A">
        <w:rPr>
          <w:rFonts w:ascii="Book Antiqua" w:hAnsi="Book Antiqua" w:cs="Times New Roman"/>
          <w:i/>
        </w:rPr>
        <w:t xml:space="preserve">, que define como marco general de actuación los Macroprocesos: Equidad Integrada en el Desarrollo y la Protección Social; Derechos Humanos de las Mujeres e Interseccionalidad.  </w:t>
      </w:r>
      <w:r w:rsidRPr="0062722A">
        <w:rPr>
          <w:rFonts w:ascii="Book Antiqua" w:hAnsi="Book Antiqua" w:cs="Arial"/>
          <w:i/>
          <w:color w:val="000000"/>
        </w:rPr>
        <w:t>Los macroprocesos son los marcos de orientación en los cuales se inscriben los procesos institucionales, para contribuir con los resultados nacionales.</w:t>
      </w:r>
    </w:p>
    <w:p w14:paraId="2B857896" w14:textId="77777777" w:rsidR="001A1F30" w:rsidRDefault="001A1F30" w:rsidP="00054C38">
      <w:pPr>
        <w:jc w:val="both"/>
        <w:rPr>
          <w:rFonts w:ascii="Book Antiqua" w:hAnsi="Book Antiqua" w:cs="Arial"/>
          <w:i/>
          <w:color w:val="000000"/>
        </w:rPr>
      </w:pPr>
    </w:p>
    <w:p w14:paraId="717FB96C" w14:textId="77777777" w:rsidR="001A1F30" w:rsidRDefault="001A1F30" w:rsidP="00054C38">
      <w:pPr>
        <w:jc w:val="both"/>
        <w:rPr>
          <w:rFonts w:ascii="Book Antiqua" w:hAnsi="Book Antiqua" w:cs="Arial"/>
          <w:i/>
          <w:color w:val="000000"/>
        </w:rPr>
      </w:pPr>
    </w:p>
    <w:p w14:paraId="35C63A18" w14:textId="77777777" w:rsidR="001A1F30" w:rsidRDefault="001A1F30" w:rsidP="00054C38">
      <w:pPr>
        <w:jc w:val="both"/>
        <w:rPr>
          <w:rFonts w:ascii="Book Antiqua" w:hAnsi="Book Antiqua" w:cs="Arial"/>
          <w:i/>
          <w:color w:val="000000"/>
        </w:rPr>
      </w:pPr>
    </w:p>
    <w:p w14:paraId="30AAA8C0" w14:textId="77777777" w:rsidR="00054C38" w:rsidRPr="0062722A" w:rsidRDefault="00054C38" w:rsidP="00054C38">
      <w:pPr>
        <w:jc w:val="both"/>
        <w:rPr>
          <w:rFonts w:ascii="Book Antiqua" w:hAnsi="Book Antiqua" w:cs="Arial"/>
          <w:i/>
          <w:color w:val="000000"/>
        </w:rPr>
      </w:pPr>
    </w:p>
    <w:p w14:paraId="1E188845" w14:textId="77777777" w:rsidR="00054C38" w:rsidRPr="0062722A" w:rsidRDefault="00054C38" w:rsidP="00054C38">
      <w:pPr>
        <w:jc w:val="both"/>
        <w:rPr>
          <w:rFonts w:ascii="Book Antiqua" w:hAnsi="Book Antiqua" w:cs="Arial"/>
          <w:i/>
          <w:color w:val="000000"/>
        </w:rPr>
      </w:pPr>
      <w:r w:rsidRPr="0062722A">
        <w:rPr>
          <w:rFonts w:ascii="Book Antiqua" w:hAnsi="Book Antiqua" w:cs="Arial"/>
          <w:i/>
          <w:color w:val="000000"/>
        </w:rPr>
        <w:t xml:space="preserve">A partir de los macroprocesos, se definen los procesos institucionales que se conforman por aquellas acciones primarias y que se vinculan directamente con el servicio que genera la institución; es decir, el conjunto de acciones que deben realizarse para cumplir sus funciones, de acuerdo con su naturaleza. </w:t>
      </w:r>
    </w:p>
    <w:p w14:paraId="2E309396" w14:textId="77777777" w:rsidR="00054C38" w:rsidRPr="0062722A" w:rsidRDefault="00054C38" w:rsidP="00054C38">
      <w:pPr>
        <w:jc w:val="both"/>
        <w:rPr>
          <w:rFonts w:ascii="Book Antiqua" w:hAnsi="Book Antiqua" w:cs="Arial"/>
          <w:i/>
          <w:color w:val="000000"/>
        </w:rPr>
      </w:pPr>
    </w:p>
    <w:p w14:paraId="189AB723" w14:textId="77777777" w:rsidR="00054C38" w:rsidRPr="0062722A" w:rsidRDefault="00054C38" w:rsidP="00054C38">
      <w:pPr>
        <w:jc w:val="both"/>
        <w:rPr>
          <w:rFonts w:ascii="Book Antiqua" w:hAnsi="Book Antiqua" w:cs="Arial"/>
          <w:i/>
          <w:color w:val="000000"/>
        </w:rPr>
      </w:pPr>
      <w:r w:rsidRPr="0062722A">
        <w:rPr>
          <w:rFonts w:ascii="Book Antiqua" w:hAnsi="Book Antiqua" w:cs="Arial"/>
          <w:i/>
          <w:color w:val="000000"/>
        </w:rPr>
        <w:t>En este sentido, los procesos institucionales se enfocan en la gestión de políticas públicas, gestión sectorial, gestión territorial, convencionalidad, gestión de la información y seguimiento y evaluación de políticas públicas para la equidad entre hombres y mujeres, además incluye el proceso apoyo y desarrollo institucional.</w:t>
      </w:r>
    </w:p>
    <w:p w14:paraId="027084CC" w14:textId="77777777" w:rsidR="00054C38" w:rsidRPr="0062722A" w:rsidRDefault="00054C38" w:rsidP="00054C38">
      <w:pPr>
        <w:jc w:val="both"/>
        <w:rPr>
          <w:rFonts w:ascii="Book Antiqua" w:hAnsi="Book Antiqua" w:cs="Times New Roman"/>
          <w:i/>
        </w:rPr>
      </w:pPr>
      <w:r w:rsidRPr="0062722A">
        <w:rPr>
          <w:rFonts w:ascii="Book Antiqua" w:hAnsi="Book Antiqua" w:cs="Times New Roman"/>
          <w:i/>
        </w:rPr>
        <w:t xml:space="preserve"> </w:t>
      </w:r>
    </w:p>
    <w:p w14:paraId="31A339BC" w14:textId="77777777" w:rsidR="00054C38" w:rsidRPr="0062722A" w:rsidRDefault="00054C38" w:rsidP="00054C38">
      <w:pPr>
        <w:jc w:val="both"/>
        <w:rPr>
          <w:rFonts w:ascii="Book Antiqua" w:hAnsi="Book Antiqua" w:cs="Times New Roman"/>
          <w:i/>
        </w:rPr>
      </w:pPr>
      <w:r w:rsidRPr="0062722A">
        <w:rPr>
          <w:rFonts w:ascii="Book Antiqua" w:hAnsi="Book Antiqua" w:cs="Times New Roman"/>
          <w:i/>
        </w:rPr>
        <w:t>Los procesos y las líneas estratégicas priorizadas para la gestión de la Secretaría se detallan a continuación:</w:t>
      </w:r>
    </w:p>
    <w:p w14:paraId="5DEAC0E8" w14:textId="77777777" w:rsidR="00054C38" w:rsidRPr="0062722A" w:rsidRDefault="00054C38" w:rsidP="00054C38">
      <w:pPr>
        <w:jc w:val="both"/>
        <w:rPr>
          <w:rFonts w:ascii="Book Antiqua" w:hAnsi="Book Antiqua" w:cs="Times New Roman"/>
          <w:i/>
        </w:rPr>
      </w:pPr>
    </w:p>
    <w:p w14:paraId="11F76C6F" w14:textId="77777777" w:rsidR="00054C38" w:rsidRPr="00B62C60" w:rsidRDefault="00054C38" w:rsidP="00E17303">
      <w:pPr>
        <w:numPr>
          <w:ilvl w:val="0"/>
          <w:numId w:val="13"/>
        </w:numPr>
        <w:spacing w:after="160" w:line="278" w:lineRule="auto"/>
        <w:jc w:val="both"/>
        <w:rPr>
          <w:rFonts w:ascii="Book Antiqua" w:hAnsi="Book Antiqua" w:cs="Times New Roman"/>
          <w:b/>
          <w:bCs/>
          <w:i/>
        </w:rPr>
      </w:pPr>
      <w:r w:rsidRPr="00B62C60">
        <w:rPr>
          <w:rFonts w:ascii="Book Antiqua" w:hAnsi="Book Antiqua"/>
          <w:b/>
          <w:bCs/>
          <w:i/>
        </w:rPr>
        <w:t>Gestión de Políticas Públicas</w:t>
      </w:r>
    </w:p>
    <w:p w14:paraId="5C07A43B" w14:textId="77777777" w:rsidR="00054C38" w:rsidRPr="0062722A" w:rsidRDefault="00054C38" w:rsidP="00054C38">
      <w:pPr>
        <w:ind w:left="708"/>
        <w:rPr>
          <w:rFonts w:ascii="Book Antiqua" w:hAnsi="Book Antiqua" w:cs="Arial"/>
          <w:i/>
          <w:color w:val="000000"/>
        </w:rPr>
      </w:pPr>
    </w:p>
    <w:p w14:paraId="2C345755" w14:textId="77777777" w:rsidR="00054C38" w:rsidRPr="0062722A" w:rsidRDefault="00054C38" w:rsidP="00054C38">
      <w:pPr>
        <w:jc w:val="both"/>
        <w:rPr>
          <w:rFonts w:ascii="Book Antiqua" w:hAnsi="Book Antiqua" w:cs="Arial"/>
          <w:i/>
          <w:color w:val="000000"/>
        </w:rPr>
      </w:pPr>
      <w:r w:rsidRPr="0062722A">
        <w:rPr>
          <w:rFonts w:ascii="Book Antiqua" w:hAnsi="Book Antiqua" w:cs="Arial"/>
          <w:i/>
          <w:color w:val="000000"/>
        </w:rPr>
        <w:t xml:space="preserve">Este proceso consiste en analizar con las instituciones rectoras de políticas públicas la viabilidad de incorporar, en cada política, la noción, forma y mecanismo de la equidad entre hombres y mujeres, proporcionando las orientaciones y lineamientos para la incorporación de la equidad en las políticas públicas. </w:t>
      </w:r>
    </w:p>
    <w:p w14:paraId="6F0720EE" w14:textId="77777777" w:rsidR="00054C38" w:rsidRPr="0062722A" w:rsidRDefault="00054C38" w:rsidP="00054C38">
      <w:pPr>
        <w:ind w:left="708"/>
        <w:jc w:val="both"/>
        <w:rPr>
          <w:rFonts w:ascii="Book Antiqua" w:hAnsi="Book Antiqua" w:cs="Arial"/>
          <w:i/>
          <w:color w:val="000000"/>
        </w:rPr>
      </w:pPr>
    </w:p>
    <w:p w14:paraId="7F874E7B" w14:textId="77777777" w:rsidR="00054C38" w:rsidRPr="0062722A" w:rsidRDefault="00054C38" w:rsidP="00054C38">
      <w:pPr>
        <w:jc w:val="both"/>
        <w:rPr>
          <w:rFonts w:ascii="Book Antiqua" w:hAnsi="Book Antiqua" w:cs="Arial"/>
          <w:i/>
          <w:color w:val="000000"/>
        </w:rPr>
      </w:pPr>
      <w:r w:rsidRPr="0062722A">
        <w:rPr>
          <w:rFonts w:ascii="Book Antiqua" w:hAnsi="Book Antiqua" w:cs="Arial"/>
          <w:i/>
          <w:color w:val="000000"/>
        </w:rPr>
        <w:t>Se basa en el conjunto de políticas públicas existentes, según la normativa, estructura y naturaleza de las instituciones y las relaciones para establecer la forma en que se debe incorporar en los procesos el enfoque de equidad entre hombres y mujeres, en los lineamientos que establecen las políticas, para que las mismas contribuyan a la planificación para el desarrollo.</w:t>
      </w:r>
    </w:p>
    <w:p w14:paraId="04DAC6FD" w14:textId="77777777" w:rsidR="00054C38" w:rsidRPr="0062722A" w:rsidRDefault="00054C38" w:rsidP="00054C38">
      <w:pPr>
        <w:jc w:val="both"/>
        <w:rPr>
          <w:rFonts w:ascii="Book Antiqua" w:hAnsi="Book Antiqua" w:cs="Times New Roman"/>
          <w:i/>
        </w:rPr>
      </w:pPr>
    </w:p>
    <w:p w14:paraId="58108697" w14:textId="77777777" w:rsidR="00054C38" w:rsidRPr="00B62C60" w:rsidRDefault="00054C38" w:rsidP="00E17303">
      <w:pPr>
        <w:numPr>
          <w:ilvl w:val="0"/>
          <w:numId w:val="13"/>
        </w:numPr>
        <w:spacing w:after="160" w:line="278" w:lineRule="auto"/>
        <w:jc w:val="both"/>
        <w:rPr>
          <w:rFonts w:ascii="Book Antiqua" w:hAnsi="Book Antiqua"/>
          <w:b/>
          <w:bCs/>
          <w:i/>
        </w:rPr>
      </w:pPr>
      <w:r w:rsidRPr="00B62C60">
        <w:rPr>
          <w:rFonts w:ascii="Book Antiqua" w:hAnsi="Book Antiqua"/>
          <w:b/>
          <w:bCs/>
          <w:i/>
        </w:rPr>
        <w:t>Gestión Sectorial</w:t>
      </w:r>
    </w:p>
    <w:p w14:paraId="0D082EEB" w14:textId="77777777" w:rsidR="00054C38" w:rsidRPr="0062722A" w:rsidRDefault="00054C38" w:rsidP="00054C38">
      <w:pPr>
        <w:ind w:left="360"/>
        <w:jc w:val="both"/>
        <w:rPr>
          <w:rFonts w:ascii="Book Antiqua" w:hAnsi="Book Antiqua"/>
          <w:i/>
        </w:rPr>
      </w:pPr>
    </w:p>
    <w:p w14:paraId="0DFC9B9B" w14:textId="77777777" w:rsidR="00054C38" w:rsidRPr="0062722A" w:rsidRDefault="00054C38" w:rsidP="00054C38">
      <w:pPr>
        <w:jc w:val="both"/>
        <w:rPr>
          <w:rFonts w:ascii="Book Antiqua" w:hAnsi="Book Antiqua" w:cs="Arial"/>
          <w:i/>
          <w:color w:val="000000"/>
        </w:rPr>
      </w:pPr>
      <w:r w:rsidRPr="0062722A">
        <w:rPr>
          <w:rFonts w:ascii="Book Antiqua" w:hAnsi="Book Antiqua" w:cs="Arial"/>
          <w:i/>
          <w:color w:val="000000"/>
        </w:rPr>
        <w:t xml:space="preserve">Se refiere a orientar y asesorar a las instituciones de los tres Organismos del Estado, para internalizar en los procesos institucionales el enfoque de equidad entre hombres y mujeres e identificar y reducir brechas. </w:t>
      </w:r>
    </w:p>
    <w:p w14:paraId="2EEA3F8F" w14:textId="77777777" w:rsidR="00054C38" w:rsidRPr="0062722A" w:rsidRDefault="00054C38" w:rsidP="00054C38">
      <w:pPr>
        <w:jc w:val="both"/>
        <w:rPr>
          <w:rFonts w:ascii="Book Antiqua" w:hAnsi="Book Antiqua" w:cs="Arial"/>
          <w:i/>
          <w:color w:val="000000"/>
        </w:rPr>
      </w:pPr>
    </w:p>
    <w:p w14:paraId="6B9517E7" w14:textId="77777777" w:rsidR="00054C38" w:rsidRPr="0062722A" w:rsidRDefault="00054C38" w:rsidP="00054C38">
      <w:pPr>
        <w:jc w:val="both"/>
        <w:rPr>
          <w:rFonts w:ascii="Book Antiqua" w:hAnsi="Book Antiqua" w:cs="Arial"/>
          <w:i/>
          <w:color w:val="000000"/>
        </w:rPr>
      </w:pPr>
      <w:r w:rsidRPr="0062722A">
        <w:rPr>
          <w:rFonts w:ascii="Book Antiqua" w:hAnsi="Book Antiqua" w:cs="Arial"/>
          <w:i/>
          <w:color w:val="000000"/>
        </w:rPr>
        <w:t>Esto implica la elaboración de lineamientos, aplicación de instrumentos técnicos y metodológicos y actividades de coordinación para incorporar en los procesos de planificación, programación, presupuesto e inversión pública, el enfoque de equidad entre hombres y mujeres.</w:t>
      </w:r>
    </w:p>
    <w:p w14:paraId="51C2F9A5" w14:textId="77777777" w:rsidR="00054C38" w:rsidRDefault="00054C38" w:rsidP="00054C38">
      <w:pPr>
        <w:rPr>
          <w:rFonts w:ascii="Book Antiqua" w:hAnsi="Book Antiqua" w:cs="Arial"/>
          <w:i/>
          <w:color w:val="000000"/>
        </w:rPr>
      </w:pPr>
    </w:p>
    <w:p w14:paraId="6B4E0DC7" w14:textId="77777777" w:rsidR="001A1F30" w:rsidRDefault="001A1F30" w:rsidP="00054C38">
      <w:pPr>
        <w:rPr>
          <w:rFonts w:ascii="Book Antiqua" w:hAnsi="Book Antiqua" w:cs="Arial"/>
          <w:i/>
          <w:color w:val="000000"/>
        </w:rPr>
      </w:pPr>
    </w:p>
    <w:p w14:paraId="672E7F4B" w14:textId="77777777" w:rsidR="001A1F30" w:rsidRDefault="001A1F30" w:rsidP="00054C38">
      <w:pPr>
        <w:rPr>
          <w:rFonts w:ascii="Book Antiqua" w:hAnsi="Book Antiqua" w:cs="Arial"/>
          <w:i/>
          <w:color w:val="000000"/>
        </w:rPr>
      </w:pPr>
    </w:p>
    <w:p w14:paraId="2208A6EE" w14:textId="77777777" w:rsidR="001A1F30" w:rsidRDefault="001A1F30" w:rsidP="00054C38">
      <w:pPr>
        <w:rPr>
          <w:rFonts w:ascii="Book Antiqua" w:hAnsi="Book Antiqua" w:cs="Arial"/>
          <w:i/>
          <w:color w:val="000000"/>
        </w:rPr>
      </w:pPr>
    </w:p>
    <w:p w14:paraId="1FC91DC6" w14:textId="77777777" w:rsidR="001A1F30" w:rsidRDefault="001A1F30" w:rsidP="00054C38">
      <w:pPr>
        <w:rPr>
          <w:rFonts w:ascii="Book Antiqua" w:hAnsi="Book Antiqua" w:cs="Arial"/>
          <w:i/>
          <w:color w:val="000000"/>
        </w:rPr>
      </w:pPr>
    </w:p>
    <w:p w14:paraId="7E1FD05B" w14:textId="77777777" w:rsidR="001A1F30" w:rsidRPr="0062722A" w:rsidRDefault="001A1F30" w:rsidP="00054C38">
      <w:pPr>
        <w:rPr>
          <w:rFonts w:ascii="Book Antiqua" w:hAnsi="Book Antiqua" w:cs="Arial"/>
          <w:i/>
          <w:color w:val="000000"/>
        </w:rPr>
      </w:pPr>
    </w:p>
    <w:p w14:paraId="3FF00B2E" w14:textId="77777777" w:rsidR="00054C38" w:rsidRPr="00E17303" w:rsidRDefault="00054C38" w:rsidP="00E17303">
      <w:pPr>
        <w:numPr>
          <w:ilvl w:val="0"/>
          <w:numId w:val="13"/>
        </w:numPr>
        <w:spacing w:after="160" w:line="278" w:lineRule="auto"/>
        <w:jc w:val="both"/>
        <w:rPr>
          <w:rFonts w:ascii="Book Antiqua" w:hAnsi="Book Antiqua"/>
          <w:b/>
          <w:bCs/>
          <w:i/>
        </w:rPr>
      </w:pPr>
      <w:r w:rsidRPr="00E17303">
        <w:rPr>
          <w:rFonts w:ascii="Book Antiqua" w:hAnsi="Book Antiqua"/>
          <w:b/>
          <w:bCs/>
          <w:i/>
        </w:rPr>
        <w:t>Gestión Territorial</w:t>
      </w:r>
    </w:p>
    <w:p w14:paraId="7DCC5667" w14:textId="77777777" w:rsidR="00054C38" w:rsidRPr="0062722A" w:rsidRDefault="00054C38" w:rsidP="00054C38">
      <w:pPr>
        <w:spacing w:after="240"/>
        <w:jc w:val="both"/>
        <w:rPr>
          <w:rFonts w:ascii="Book Antiqua" w:hAnsi="Book Antiqua" w:cs="Arial"/>
          <w:i/>
          <w:color w:val="000000"/>
        </w:rPr>
      </w:pPr>
      <w:r w:rsidRPr="0062722A">
        <w:rPr>
          <w:rFonts w:ascii="Book Antiqua" w:hAnsi="Book Antiqua" w:cs="Arial"/>
          <w:i/>
          <w:color w:val="000000"/>
        </w:rPr>
        <w:t>La gestión territorial se refiere a las acciones que la Seprem desarrolla como parte del acompañamiento técnico y metodológico que brinda a la institucionalidad pública, para el seguimiento de políticas públicas vinculadas con la equidad entre hombres y mujeres, esto implica orientar y asesorar en los procesos e instancias territoriales, para internalizar en los procesos la equidad entre hombres y mujeres e identificar y reducir brechas.</w:t>
      </w:r>
    </w:p>
    <w:p w14:paraId="231BAE12" w14:textId="56DB599D" w:rsidR="00054C38" w:rsidRPr="0062722A" w:rsidRDefault="00054C38" w:rsidP="00054C38">
      <w:pPr>
        <w:jc w:val="both"/>
        <w:rPr>
          <w:rFonts w:ascii="Book Antiqua" w:hAnsi="Book Antiqua" w:cs="Arial"/>
          <w:i/>
          <w:color w:val="000000"/>
        </w:rPr>
      </w:pPr>
      <w:r w:rsidRPr="0062722A">
        <w:rPr>
          <w:rFonts w:ascii="Book Antiqua" w:hAnsi="Book Antiqua" w:cs="Arial"/>
          <w:i/>
          <w:color w:val="000000"/>
        </w:rPr>
        <w:t xml:space="preserve">Ello significa que la Seprem brinda asesoría técnica y metodológica, durante el ciclo de planificación y presupuesto, a efecto de garantizar que los instrumentos estratégicos y operativos de la institucionalidad pública, incorporen lineamientos y acciones focalizadas a cerrar las brechas de inequidad entre hombres y mujeres, </w:t>
      </w:r>
      <w:r w:rsidR="001A1F30" w:rsidRPr="0062722A">
        <w:rPr>
          <w:rFonts w:ascii="Book Antiqua" w:hAnsi="Book Antiqua" w:cs="Arial"/>
          <w:i/>
          <w:color w:val="000000"/>
        </w:rPr>
        <w:t>de acuerdo con</w:t>
      </w:r>
      <w:r w:rsidRPr="0062722A">
        <w:rPr>
          <w:rFonts w:ascii="Book Antiqua" w:hAnsi="Book Antiqua" w:cs="Arial"/>
          <w:i/>
          <w:color w:val="000000"/>
        </w:rPr>
        <w:t xml:space="preserve"> los ámbitos de sus competencias. Dichos lineamientos y acciones deben reflejarse en los instrumentos de gestión institucional multianual y anual, para ser operativizados en cada ejercicio fiscal.</w:t>
      </w:r>
    </w:p>
    <w:p w14:paraId="77F1BDBB" w14:textId="77777777" w:rsidR="00054C38" w:rsidRPr="0062722A" w:rsidRDefault="00054C38" w:rsidP="00054C38">
      <w:pPr>
        <w:jc w:val="both"/>
        <w:rPr>
          <w:rFonts w:ascii="Book Antiqua" w:hAnsi="Book Antiqua" w:cs="Arial"/>
          <w:i/>
          <w:color w:val="000000"/>
        </w:rPr>
      </w:pPr>
    </w:p>
    <w:p w14:paraId="10089CEE" w14:textId="77777777" w:rsidR="00054C38" w:rsidRPr="0062722A" w:rsidRDefault="00054C38" w:rsidP="00054C38">
      <w:pPr>
        <w:jc w:val="both"/>
        <w:rPr>
          <w:rFonts w:ascii="Book Antiqua" w:hAnsi="Book Antiqua" w:cs="Arial"/>
          <w:i/>
          <w:color w:val="000000"/>
        </w:rPr>
      </w:pPr>
      <w:r w:rsidRPr="0062722A">
        <w:rPr>
          <w:rFonts w:ascii="Book Antiqua" w:hAnsi="Book Antiqua" w:cs="Arial"/>
          <w:i/>
          <w:color w:val="000000"/>
        </w:rPr>
        <w:t>La PNPDIM y PEO 2008-2023 constituye la herramienta medular para el quehacer de la Seprem, en virtud de que, en ésta, se recogen los temas que la institucionalidad pública debe responder, en aras de generar las condiciones para la equidad entre hombres y mujeres.</w:t>
      </w:r>
    </w:p>
    <w:p w14:paraId="357922D0" w14:textId="77777777" w:rsidR="00054C38" w:rsidRPr="0062722A" w:rsidRDefault="00054C38" w:rsidP="00054C38">
      <w:pPr>
        <w:jc w:val="both"/>
        <w:rPr>
          <w:rFonts w:ascii="Book Antiqua" w:hAnsi="Book Antiqua" w:cs="Arial"/>
          <w:i/>
          <w:color w:val="000000"/>
        </w:rPr>
      </w:pPr>
    </w:p>
    <w:p w14:paraId="033962ED" w14:textId="77777777" w:rsidR="00054C38" w:rsidRPr="0062722A" w:rsidRDefault="00054C38" w:rsidP="00054C38">
      <w:pPr>
        <w:jc w:val="both"/>
        <w:rPr>
          <w:rFonts w:ascii="Book Antiqua" w:hAnsi="Book Antiqua" w:cs="Arial"/>
          <w:i/>
          <w:color w:val="000000"/>
        </w:rPr>
      </w:pPr>
      <w:r w:rsidRPr="0062722A">
        <w:rPr>
          <w:rFonts w:ascii="Book Antiqua" w:hAnsi="Book Antiqua" w:cs="Arial"/>
          <w:i/>
          <w:color w:val="000000"/>
        </w:rPr>
        <w:t>Aunque la PNPDIM representa el instrumento principal para gestionar la equidad entre hombres y mujeres, existe un marco de políticas públicas vigente, al cual, la Seprem debe brindar acompañamiento técnico y metodológico para el abordaje de temas vinculados con el desarrollo integral de las mujeres. Lo anterior permitirá el cumplimiento de los derechos de las mujeres, lo cual implica cerrar la brecha de inequidades entre hombres y mujeres.</w:t>
      </w:r>
    </w:p>
    <w:p w14:paraId="4B94DE03" w14:textId="77777777" w:rsidR="00054C38" w:rsidRPr="0062722A" w:rsidRDefault="00054C38" w:rsidP="00054C38">
      <w:pPr>
        <w:jc w:val="both"/>
        <w:rPr>
          <w:rFonts w:ascii="Book Antiqua" w:hAnsi="Book Antiqua" w:cs="Arial"/>
          <w:i/>
          <w:color w:val="000000"/>
        </w:rPr>
      </w:pPr>
    </w:p>
    <w:p w14:paraId="2915F09C" w14:textId="36419E57" w:rsidR="00054C38" w:rsidRDefault="00054C38" w:rsidP="00054C38">
      <w:pPr>
        <w:jc w:val="both"/>
        <w:rPr>
          <w:rFonts w:ascii="Book Antiqua" w:hAnsi="Book Antiqua" w:cs="Arial"/>
          <w:i/>
          <w:color w:val="000000"/>
        </w:rPr>
      </w:pPr>
      <w:r w:rsidRPr="0062722A">
        <w:rPr>
          <w:rFonts w:ascii="Book Antiqua" w:hAnsi="Book Antiqua" w:cs="Arial"/>
          <w:i/>
          <w:color w:val="000000"/>
        </w:rPr>
        <w:t>La asistencia técnica que proporciona la Seprem, se centra además hacia la orientación para la programación de presupuestos para la equidad entre hombres y mujeres por parte de las entidades asistidas. Para ello, la Seprem, en coordinación con el Minfin y la Segeplan, se enfoca en generar orientaciones que permitan la asignación de recursos públicos, en intervenciones destinadas a atender las problemáticas que afectan a las guatemaltecas. Ello implica que a</w:t>
      </w:r>
      <w:r w:rsidR="00EE69DF">
        <w:rPr>
          <w:rFonts w:ascii="Book Antiqua" w:hAnsi="Book Antiqua" w:cs="Arial"/>
          <w:i/>
          <w:color w:val="000000"/>
        </w:rPr>
        <w:t xml:space="preserve"> </w:t>
      </w:r>
      <w:r w:rsidRPr="0062722A">
        <w:rPr>
          <w:rFonts w:ascii="Book Antiqua" w:hAnsi="Book Antiqua" w:cs="Arial"/>
          <w:i/>
          <w:color w:val="000000"/>
        </w:rPr>
        <w:t>través de esta coordinación se realice el análisis y actualización de guías y normas vigentes, en términos de la programación multianual y anual, de la inversión pública, y durante la gestión de recursos provenientes de la cooperación internacional.</w:t>
      </w:r>
    </w:p>
    <w:p w14:paraId="6B19BB70" w14:textId="77777777" w:rsidR="001A1F30" w:rsidRDefault="001A1F30" w:rsidP="00054C38">
      <w:pPr>
        <w:jc w:val="both"/>
        <w:rPr>
          <w:rFonts w:ascii="Book Antiqua" w:hAnsi="Book Antiqua" w:cs="Arial"/>
          <w:i/>
          <w:color w:val="000000"/>
        </w:rPr>
      </w:pPr>
    </w:p>
    <w:p w14:paraId="77AF28B7" w14:textId="20FE01EF" w:rsidR="001A1F30" w:rsidRDefault="001A1F30" w:rsidP="00054C38">
      <w:pPr>
        <w:jc w:val="both"/>
        <w:rPr>
          <w:rFonts w:ascii="Book Antiqua" w:hAnsi="Book Antiqua" w:cs="Arial"/>
          <w:i/>
          <w:color w:val="000000"/>
        </w:rPr>
      </w:pPr>
      <w:r>
        <w:rPr>
          <w:rFonts w:ascii="Book Antiqua" w:hAnsi="Book Antiqua" w:cs="Arial"/>
          <w:i/>
          <w:color w:val="000000"/>
        </w:rPr>
        <w:t>Es importante indicar que, durante el presente ejercicio fiscal la Seprem enfocará sus esfuerzos en la evaluación y actualización de la PNPDIM</w:t>
      </w:r>
      <w:r w:rsidR="00E17303">
        <w:rPr>
          <w:rFonts w:ascii="Book Antiqua" w:hAnsi="Book Antiqua" w:cs="Arial"/>
          <w:i/>
          <w:color w:val="000000"/>
        </w:rPr>
        <w:t>, en observancia al Punto Noveno del Acta 4-2023 del Consejo Nacional de Desarrollo Urbano y Rural -</w:t>
      </w:r>
      <w:r w:rsidR="00DB0E4D">
        <w:rPr>
          <w:rFonts w:ascii="Book Antiqua" w:hAnsi="Book Antiqua" w:cs="Arial"/>
          <w:i/>
          <w:color w:val="000000"/>
        </w:rPr>
        <w:t>CONADUR</w:t>
      </w:r>
      <w:r w:rsidR="00E17303">
        <w:rPr>
          <w:rFonts w:ascii="Book Antiqua" w:hAnsi="Book Antiqua" w:cs="Arial"/>
          <w:i/>
          <w:color w:val="000000"/>
        </w:rPr>
        <w:t>-.</w:t>
      </w:r>
    </w:p>
    <w:p w14:paraId="17E8FD7F" w14:textId="77777777" w:rsidR="001A1F30" w:rsidRDefault="001A1F30" w:rsidP="00054C38">
      <w:pPr>
        <w:jc w:val="both"/>
        <w:rPr>
          <w:rFonts w:ascii="Book Antiqua" w:hAnsi="Book Antiqua" w:cs="Arial"/>
          <w:i/>
          <w:color w:val="000000"/>
        </w:rPr>
      </w:pPr>
    </w:p>
    <w:p w14:paraId="71FA49E7" w14:textId="77777777" w:rsidR="00E17303" w:rsidRDefault="00E17303" w:rsidP="00054C38">
      <w:pPr>
        <w:jc w:val="both"/>
        <w:rPr>
          <w:rFonts w:ascii="Book Antiqua" w:hAnsi="Book Antiqua" w:cs="Arial"/>
          <w:i/>
          <w:color w:val="000000"/>
        </w:rPr>
      </w:pPr>
    </w:p>
    <w:p w14:paraId="476882F6" w14:textId="77777777" w:rsidR="00E17303" w:rsidRDefault="00E17303" w:rsidP="00054C38">
      <w:pPr>
        <w:jc w:val="both"/>
        <w:rPr>
          <w:rFonts w:ascii="Book Antiqua" w:hAnsi="Book Antiqua" w:cs="Arial"/>
          <w:i/>
          <w:color w:val="000000"/>
        </w:rPr>
      </w:pPr>
    </w:p>
    <w:p w14:paraId="784DBD3A" w14:textId="77777777" w:rsidR="00E17303" w:rsidRDefault="00E17303" w:rsidP="00054C38">
      <w:pPr>
        <w:jc w:val="both"/>
        <w:rPr>
          <w:rFonts w:ascii="Book Antiqua" w:hAnsi="Book Antiqua" w:cs="Arial"/>
          <w:i/>
          <w:color w:val="000000"/>
        </w:rPr>
      </w:pPr>
    </w:p>
    <w:p w14:paraId="39723232" w14:textId="77777777" w:rsidR="001A1F30" w:rsidRDefault="001A1F30" w:rsidP="00054C38">
      <w:pPr>
        <w:jc w:val="both"/>
        <w:rPr>
          <w:rFonts w:ascii="Book Antiqua" w:hAnsi="Book Antiqua" w:cs="Arial"/>
          <w:i/>
          <w:color w:val="000000"/>
        </w:rPr>
      </w:pPr>
    </w:p>
    <w:p w14:paraId="2DE3543C" w14:textId="77777777" w:rsidR="001A1F30" w:rsidRDefault="001A1F30" w:rsidP="00054C38">
      <w:pPr>
        <w:jc w:val="both"/>
        <w:rPr>
          <w:rFonts w:ascii="Book Antiqua" w:hAnsi="Book Antiqua" w:cs="Arial"/>
          <w:i/>
          <w:color w:val="000000"/>
        </w:rPr>
      </w:pPr>
    </w:p>
    <w:p w14:paraId="37711A0B" w14:textId="77777777" w:rsidR="001A1F30" w:rsidRDefault="001A1F30" w:rsidP="00054C38">
      <w:pPr>
        <w:jc w:val="both"/>
        <w:rPr>
          <w:rFonts w:ascii="Book Antiqua" w:hAnsi="Book Antiqua" w:cs="Arial"/>
          <w:i/>
          <w:color w:val="000000"/>
        </w:rPr>
      </w:pPr>
    </w:p>
    <w:p w14:paraId="04C8EABA" w14:textId="77777777" w:rsidR="001A1F30" w:rsidRPr="0062722A" w:rsidRDefault="001A1F30" w:rsidP="00054C38">
      <w:pPr>
        <w:jc w:val="both"/>
        <w:rPr>
          <w:rFonts w:ascii="Book Antiqua" w:hAnsi="Book Antiqua" w:cs="Arial"/>
          <w:i/>
          <w:color w:val="000000"/>
        </w:rPr>
      </w:pPr>
    </w:p>
    <w:p w14:paraId="49BC6125" w14:textId="77777777" w:rsidR="00054C38" w:rsidRPr="0062722A" w:rsidRDefault="00054C38" w:rsidP="00054C38">
      <w:pPr>
        <w:jc w:val="both"/>
        <w:rPr>
          <w:rFonts w:ascii="Book Antiqua" w:hAnsi="Book Antiqua" w:cs="Arial"/>
          <w:i/>
          <w:color w:val="000000"/>
        </w:rPr>
      </w:pPr>
    </w:p>
    <w:p w14:paraId="03C23067" w14:textId="0995674B" w:rsidR="00054C38" w:rsidRPr="00E17303" w:rsidRDefault="00054C38" w:rsidP="00E17303">
      <w:pPr>
        <w:numPr>
          <w:ilvl w:val="0"/>
          <w:numId w:val="13"/>
        </w:numPr>
        <w:spacing w:after="160" w:line="278" w:lineRule="auto"/>
        <w:jc w:val="both"/>
        <w:rPr>
          <w:rFonts w:ascii="Book Antiqua" w:hAnsi="Book Antiqua"/>
          <w:b/>
          <w:bCs/>
          <w:i/>
        </w:rPr>
      </w:pPr>
      <w:bookmarkStart w:id="15" w:name="_Toc38872782"/>
      <w:r w:rsidRPr="00E17303">
        <w:rPr>
          <w:rFonts w:ascii="Book Antiqua" w:hAnsi="Book Antiqua"/>
          <w:b/>
          <w:bCs/>
          <w:i/>
        </w:rPr>
        <w:t>Convencionalidad</w:t>
      </w:r>
    </w:p>
    <w:p w14:paraId="4BC77ED0" w14:textId="77777777" w:rsidR="00054C38" w:rsidRPr="0062722A" w:rsidRDefault="00054C38" w:rsidP="00054C38">
      <w:pPr>
        <w:jc w:val="both"/>
        <w:rPr>
          <w:rFonts w:ascii="Book Antiqua" w:hAnsi="Book Antiqua" w:cs="Arial"/>
          <w:i/>
          <w:color w:val="000000"/>
        </w:rPr>
      </w:pPr>
      <w:r w:rsidRPr="0062722A">
        <w:rPr>
          <w:rFonts w:ascii="Book Antiqua" w:hAnsi="Book Antiqua" w:cs="Arial"/>
          <w:i/>
          <w:color w:val="000000"/>
        </w:rPr>
        <w:t>Este proceso se refiere a orientar y asesorar a las instituciones pública</w:t>
      </w:r>
      <w:r>
        <w:rPr>
          <w:rFonts w:ascii="Book Antiqua" w:hAnsi="Book Antiqua" w:cs="Arial"/>
          <w:i/>
          <w:color w:val="000000"/>
        </w:rPr>
        <w:t>s</w:t>
      </w:r>
      <w:r w:rsidRPr="0062722A">
        <w:rPr>
          <w:rFonts w:ascii="Book Antiqua" w:hAnsi="Book Antiqua" w:cs="Arial"/>
          <w:i/>
          <w:color w:val="000000"/>
        </w:rPr>
        <w:t xml:space="preserve"> para la incorporación de las responsabilidades inherentes a su función y naturaleza, respecto de los compromisos internacionales en materia de Derechos Humanos de las Mujeres.</w:t>
      </w:r>
    </w:p>
    <w:p w14:paraId="3F58CF86" w14:textId="77777777" w:rsidR="00054C38" w:rsidRPr="0062722A" w:rsidRDefault="00054C38" w:rsidP="00054C38">
      <w:pPr>
        <w:rPr>
          <w:rFonts w:ascii="Book Antiqua" w:hAnsi="Book Antiqua" w:cs="Arial"/>
          <w:i/>
          <w:color w:val="000000"/>
        </w:rPr>
      </w:pPr>
    </w:p>
    <w:p w14:paraId="4D1E18FA" w14:textId="77777777" w:rsidR="00054C38" w:rsidRPr="0062722A" w:rsidRDefault="00054C38" w:rsidP="00054C38">
      <w:pPr>
        <w:jc w:val="both"/>
        <w:rPr>
          <w:rFonts w:ascii="Book Antiqua" w:hAnsi="Book Antiqua" w:cs="Arial"/>
          <w:i/>
          <w:color w:val="000000"/>
        </w:rPr>
      </w:pPr>
      <w:r w:rsidRPr="0062722A">
        <w:rPr>
          <w:rFonts w:ascii="Book Antiqua" w:hAnsi="Book Antiqua" w:cs="Arial"/>
          <w:i/>
          <w:color w:val="000000"/>
        </w:rPr>
        <w:t>En ese sentido se asiste técnicamente y se brinda orientaciones, lineamientos y coordinación para internalizar la Convencionalidad en las instituciones del Organismo Ejecutivo.</w:t>
      </w:r>
    </w:p>
    <w:p w14:paraId="2BB5567F" w14:textId="77777777" w:rsidR="00C81B69" w:rsidRPr="0062722A" w:rsidRDefault="00C81B69" w:rsidP="00054C38">
      <w:pPr>
        <w:rPr>
          <w:rFonts w:ascii="Book Antiqua" w:hAnsi="Book Antiqua" w:cs="Arial"/>
          <w:i/>
          <w:color w:val="000000"/>
        </w:rPr>
      </w:pPr>
    </w:p>
    <w:p w14:paraId="211BE7C4" w14:textId="75A3CAF5" w:rsidR="00054C38" w:rsidRPr="00E17303" w:rsidRDefault="00054C38" w:rsidP="00E17303">
      <w:pPr>
        <w:numPr>
          <w:ilvl w:val="0"/>
          <w:numId w:val="13"/>
        </w:numPr>
        <w:spacing w:after="160" w:line="278" w:lineRule="auto"/>
        <w:jc w:val="both"/>
        <w:rPr>
          <w:rFonts w:ascii="Book Antiqua" w:hAnsi="Book Antiqua"/>
          <w:b/>
          <w:bCs/>
          <w:i/>
        </w:rPr>
      </w:pPr>
      <w:r w:rsidRPr="00E17303">
        <w:rPr>
          <w:rFonts w:ascii="Book Antiqua" w:hAnsi="Book Antiqua"/>
          <w:b/>
          <w:bCs/>
          <w:i/>
        </w:rPr>
        <w:t xml:space="preserve">Gestión de la información y </w:t>
      </w:r>
      <w:r w:rsidR="00D05D64">
        <w:rPr>
          <w:rFonts w:ascii="Book Antiqua" w:hAnsi="Book Antiqua"/>
          <w:b/>
          <w:bCs/>
          <w:i/>
        </w:rPr>
        <w:t>s</w:t>
      </w:r>
      <w:r w:rsidRPr="00E17303">
        <w:rPr>
          <w:rFonts w:ascii="Book Antiqua" w:hAnsi="Book Antiqua"/>
          <w:b/>
          <w:bCs/>
          <w:i/>
        </w:rPr>
        <w:t xml:space="preserve">eguimiento y </w:t>
      </w:r>
      <w:r w:rsidR="00D05D64">
        <w:rPr>
          <w:rFonts w:ascii="Book Antiqua" w:hAnsi="Book Antiqua"/>
          <w:b/>
          <w:bCs/>
          <w:i/>
        </w:rPr>
        <w:t>e</w:t>
      </w:r>
      <w:r w:rsidRPr="00E17303">
        <w:rPr>
          <w:rFonts w:ascii="Book Antiqua" w:hAnsi="Book Antiqua"/>
          <w:b/>
          <w:bCs/>
          <w:i/>
        </w:rPr>
        <w:t xml:space="preserve">valuación de </w:t>
      </w:r>
      <w:r w:rsidR="00D05D64">
        <w:rPr>
          <w:rFonts w:ascii="Book Antiqua" w:hAnsi="Book Antiqua"/>
          <w:b/>
          <w:bCs/>
          <w:i/>
        </w:rPr>
        <w:t>p</w:t>
      </w:r>
      <w:r w:rsidRPr="00E17303">
        <w:rPr>
          <w:rFonts w:ascii="Book Antiqua" w:hAnsi="Book Antiqua"/>
          <w:b/>
          <w:bCs/>
          <w:i/>
        </w:rPr>
        <w:t xml:space="preserve">olíticas </w:t>
      </w:r>
      <w:r w:rsidR="00D05D64">
        <w:rPr>
          <w:rFonts w:ascii="Book Antiqua" w:hAnsi="Book Antiqua"/>
          <w:b/>
          <w:bCs/>
          <w:i/>
        </w:rPr>
        <w:t>p</w:t>
      </w:r>
      <w:r w:rsidRPr="00E17303">
        <w:rPr>
          <w:rFonts w:ascii="Book Antiqua" w:hAnsi="Book Antiqua"/>
          <w:b/>
          <w:bCs/>
          <w:i/>
        </w:rPr>
        <w:t xml:space="preserve">úblicas para la </w:t>
      </w:r>
      <w:r w:rsidR="00D05D64">
        <w:rPr>
          <w:rFonts w:ascii="Book Antiqua" w:hAnsi="Book Antiqua"/>
          <w:b/>
          <w:bCs/>
          <w:i/>
        </w:rPr>
        <w:t>e</w:t>
      </w:r>
      <w:r w:rsidRPr="00E17303">
        <w:rPr>
          <w:rFonts w:ascii="Book Antiqua" w:hAnsi="Book Antiqua"/>
          <w:b/>
          <w:bCs/>
          <w:i/>
        </w:rPr>
        <w:t xml:space="preserve">quidad entre </w:t>
      </w:r>
      <w:r w:rsidR="00D05D64">
        <w:rPr>
          <w:rFonts w:ascii="Book Antiqua" w:hAnsi="Book Antiqua"/>
          <w:b/>
          <w:bCs/>
          <w:i/>
        </w:rPr>
        <w:t>h</w:t>
      </w:r>
      <w:r w:rsidRPr="00E17303">
        <w:rPr>
          <w:rFonts w:ascii="Book Antiqua" w:hAnsi="Book Antiqua"/>
          <w:b/>
          <w:bCs/>
          <w:i/>
        </w:rPr>
        <w:t xml:space="preserve">ombres y </w:t>
      </w:r>
      <w:r w:rsidR="00D05D64">
        <w:rPr>
          <w:rFonts w:ascii="Book Antiqua" w:hAnsi="Book Antiqua"/>
          <w:b/>
          <w:bCs/>
          <w:i/>
        </w:rPr>
        <w:t>m</w:t>
      </w:r>
      <w:r w:rsidRPr="00E17303">
        <w:rPr>
          <w:rFonts w:ascii="Book Antiqua" w:hAnsi="Book Antiqua"/>
          <w:b/>
          <w:bCs/>
          <w:i/>
        </w:rPr>
        <w:t>ujeres</w:t>
      </w:r>
      <w:bookmarkEnd w:id="15"/>
    </w:p>
    <w:p w14:paraId="46971415" w14:textId="77777777" w:rsidR="00054C38" w:rsidRPr="0062722A" w:rsidRDefault="00054C38" w:rsidP="00054C38">
      <w:pPr>
        <w:jc w:val="both"/>
        <w:rPr>
          <w:rFonts w:ascii="Book Antiqua" w:hAnsi="Book Antiqua" w:cs="Arial"/>
          <w:i/>
          <w:color w:val="000000"/>
        </w:rPr>
      </w:pPr>
    </w:p>
    <w:p w14:paraId="2CEA4737" w14:textId="77777777" w:rsidR="00054C38" w:rsidRPr="0062722A" w:rsidRDefault="00054C38" w:rsidP="00054C38">
      <w:pPr>
        <w:jc w:val="both"/>
        <w:rPr>
          <w:rFonts w:ascii="Book Antiqua" w:hAnsi="Book Antiqua" w:cs="Arial"/>
          <w:i/>
          <w:color w:val="000000"/>
        </w:rPr>
      </w:pPr>
      <w:r w:rsidRPr="0062722A">
        <w:rPr>
          <w:rFonts w:ascii="Book Antiqua" w:hAnsi="Book Antiqua" w:cs="Arial"/>
          <w:i/>
          <w:color w:val="000000"/>
        </w:rPr>
        <w:t>Por medio de este proceso se coordina y articula el flujo y tipo de información para la equidad entre hombres y mujeres, las acciones enmarcadas en este proceso se vinculan con la gestión de la información, por lo que la sistematización, registro y análisis de datos, así como el seguimiento oportuno a indicadores relacionados con la equidad entre hombres y mujeres son los insumos primarios para el seguimiento y la evaluación.</w:t>
      </w:r>
    </w:p>
    <w:p w14:paraId="32BADDCD" w14:textId="77777777" w:rsidR="00054C38" w:rsidRPr="0062722A" w:rsidRDefault="00054C38" w:rsidP="00054C38">
      <w:pPr>
        <w:jc w:val="both"/>
        <w:rPr>
          <w:rFonts w:ascii="Book Antiqua" w:hAnsi="Book Antiqua" w:cs="Arial"/>
          <w:i/>
          <w:color w:val="000000"/>
        </w:rPr>
      </w:pPr>
    </w:p>
    <w:p w14:paraId="45DBCCA0" w14:textId="77777777" w:rsidR="00054C38" w:rsidRPr="0062722A" w:rsidRDefault="00054C38" w:rsidP="00054C38">
      <w:pPr>
        <w:jc w:val="both"/>
        <w:rPr>
          <w:rFonts w:ascii="Book Antiqua" w:hAnsi="Book Antiqua" w:cs="Arial"/>
          <w:i/>
          <w:color w:val="000000"/>
        </w:rPr>
      </w:pPr>
      <w:r w:rsidRPr="0062722A">
        <w:rPr>
          <w:rFonts w:ascii="Book Antiqua" w:hAnsi="Book Antiqua" w:cs="Arial"/>
          <w:i/>
          <w:color w:val="000000"/>
        </w:rPr>
        <w:t xml:space="preserve"> Asimismo, el seguimiento y evaluación de políticas públicas para la equidad entre hombres y mujeres se refiere al conjunto de acciones que se realizan de forma periódica y sistemática para analizar el avance en el cumplimiento de metas. Representa un mecanismo para la reorientación de los lineamientos estratégicos, para el logro de los resultados planteados en materia de equidad entre hombres y mujeres.</w:t>
      </w:r>
    </w:p>
    <w:p w14:paraId="1C45F716" w14:textId="77777777" w:rsidR="00054C38" w:rsidRPr="0062722A" w:rsidRDefault="00054C38" w:rsidP="00054C38">
      <w:pPr>
        <w:jc w:val="both"/>
        <w:rPr>
          <w:rFonts w:ascii="Book Antiqua" w:hAnsi="Book Antiqua" w:cs="Arial"/>
          <w:i/>
          <w:color w:val="000000"/>
        </w:rPr>
      </w:pPr>
    </w:p>
    <w:p w14:paraId="4324BC1E" w14:textId="77777777" w:rsidR="00054C38" w:rsidRPr="0062722A" w:rsidRDefault="00054C38" w:rsidP="00054C38">
      <w:pPr>
        <w:jc w:val="both"/>
        <w:rPr>
          <w:rFonts w:ascii="Book Antiqua" w:hAnsi="Book Antiqua" w:cs="Arial"/>
          <w:i/>
          <w:color w:val="000000"/>
        </w:rPr>
      </w:pPr>
      <w:r w:rsidRPr="0062722A">
        <w:rPr>
          <w:rFonts w:ascii="Book Antiqua" w:hAnsi="Book Antiqua" w:cs="Arial"/>
          <w:i/>
          <w:color w:val="000000"/>
        </w:rPr>
        <w:t>Es importante hacer una acotación que estos procesos se realizan en función de la implementación de una política pública, por lo que no se refieren a acciones operativas de monitoreo o de cumplimiento de acciones, sino al análisis y valoración (sobre la base de criterios técnicos), de los impactos o transformaciones de vida generadas a partir de las intervenciones públicas, en función de los lineamientos contenidos en una política pública.</w:t>
      </w:r>
    </w:p>
    <w:p w14:paraId="73519C6B" w14:textId="77777777" w:rsidR="00054C38" w:rsidRPr="0062722A" w:rsidRDefault="00054C38" w:rsidP="00054C38">
      <w:pPr>
        <w:jc w:val="both"/>
        <w:rPr>
          <w:rFonts w:ascii="Book Antiqua" w:hAnsi="Book Antiqua" w:cs="Arial"/>
          <w:i/>
          <w:color w:val="000000"/>
        </w:rPr>
      </w:pPr>
    </w:p>
    <w:p w14:paraId="1CEAA6B1" w14:textId="6905BF6C" w:rsidR="00054C38" w:rsidRPr="00E17303" w:rsidRDefault="00054C38" w:rsidP="00E17303">
      <w:pPr>
        <w:numPr>
          <w:ilvl w:val="0"/>
          <w:numId w:val="13"/>
        </w:numPr>
        <w:spacing w:after="160" w:line="278" w:lineRule="auto"/>
        <w:jc w:val="both"/>
        <w:rPr>
          <w:rFonts w:ascii="Book Antiqua" w:hAnsi="Book Antiqua"/>
          <w:b/>
          <w:bCs/>
          <w:i/>
        </w:rPr>
      </w:pPr>
      <w:r w:rsidRPr="00E17303">
        <w:rPr>
          <w:rFonts w:ascii="Book Antiqua" w:hAnsi="Book Antiqua"/>
          <w:b/>
          <w:bCs/>
          <w:i/>
        </w:rPr>
        <w:t xml:space="preserve">Apoyo y desarrollo </w:t>
      </w:r>
      <w:r w:rsidR="00975CE0">
        <w:rPr>
          <w:rFonts w:ascii="Book Antiqua" w:hAnsi="Book Antiqua"/>
          <w:b/>
          <w:bCs/>
          <w:i/>
        </w:rPr>
        <w:t>i</w:t>
      </w:r>
      <w:r w:rsidRPr="00E17303">
        <w:rPr>
          <w:rFonts w:ascii="Book Antiqua" w:hAnsi="Book Antiqua"/>
          <w:b/>
          <w:bCs/>
          <w:i/>
        </w:rPr>
        <w:t>nstitucional</w:t>
      </w:r>
    </w:p>
    <w:p w14:paraId="7109847A" w14:textId="77777777" w:rsidR="00054C38" w:rsidRPr="0062722A" w:rsidRDefault="00054C38" w:rsidP="00054C38">
      <w:pPr>
        <w:ind w:left="360"/>
        <w:jc w:val="both"/>
        <w:rPr>
          <w:rFonts w:ascii="Book Antiqua" w:hAnsi="Book Antiqua" w:cs="Times New Roman"/>
          <w:i/>
        </w:rPr>
      </w:pPr>
    </w:p>
    <w:p w14:paraId="152C34A8" w14:textId="67AF411A" w:rsidR="00054C38" w:rsidRDefault="00D05D64" w:rsidP="00054C38">
      <w:pPr>
        <w:jc w:val="both"/>
        <w:rPr>
          <w:rFonts w:ascii="Book Antiqua" w:hAnsi="Book Antiqua" w:cs="Arial"/>
          <w:i/>
          <w:color w:val="000000"/>
        </w:rPr>
      </w:pPr>
      <w:r>
        <w:rPr>
          <w:rFonts w:ascii="Book Antiqua" w:eastAsiaTheme="majorEastAsia" w:hAnsi="Book Antiqua" w:cstheme="majorBidi"/>
          <w:bCs/>
          <w:i/>
        </w:rPr>
        <w:t>El</w:t>
      </w:r>
      <w:r w:rsidR="00054C38" w:rsidRPr="0062722A">
        <w:rPr>
          <w:rFonts w:ascii="Book Antiqua" w:eastAsiaTheme="majorEastAsia" w:hAnsi="Book Antiqua" w:cstheme="majorBidi"/>
          <w:bCs/>
          <w:i/>
        </w:rPr>
        <w:t xml:space="preserve"> </w:t>
      </w:r>
      <w:r w:rsidR="006708FD" w:rsidRPr="00DB0E4D">
        <w:rPr>
          <w:rFonts w:ascii="Book Antiqua" w:eastAsiaTheme="majorEastAsia" w:hAnsi="Book Antiqua" w:cstheme="majorBidi"/>
          <w:bCs/>
          <w:i/>
        </w:rPr>
        <w:t>a</w:t>
      </w:r>
      <w:r w:rsidR="00054C38" w:rsidRPr="00DB0E4D">
        <w:rPr>
          <w:rFonts w:ascii="Book Antiqua" w:eastAsiaTheme="majorEastAsia" w:hAnsi="Book Antiqua" w:cstheme="majorBidi"/>
          <w:bCs/>
          <w:i/>
        </w:rPr>
        <w:t>poyo</w:t>
      </w:r>
      <w:r w:rsidR="00054C38" w:rsidRPr="0062722A">
        <w:rPr>
          <w:rFonts w:ascii="Book Antiqua" w:eastAsiaTheme="majorEastAsia" w:hAnsi="Book Antiqua" w:cstheme="majorBidi"/>
          <w:bCs/>
          <w:i/>
        </w:rPr>
        <w:t xml:space="preserve"> y desarrollo institucional es uno de los ámbitos prioritarios, en virtud del</w:t>
      </w:r>
      <w:r w:rsidR="00054C38" w:rsidRPr="0062722A">
        <w:rPr>
          <w:rFonts w:ascii="Book Antiqua" w:hAnsi="Book Antiqua" w:cs="Arial"/>
          <w:i/>
          <w:color w:val="000000"/>
        </w:rPr>
        <w:t xml:space="preserve"> necesario fortalecimiento de capacidades para la respuesta del Estado ante las problemáticas que enfrentan las mujeres en todo el ciclo de vida. El mismo pasa por la construcción del conocimiento, formación continua del recurso humano, actualización de procedimientos institucionales, mejora en la gestión de planes y programas, la modernización en la conducción de su quehacer institucional.  Esto implica internalizar en los procesos de planificación y presupuesto la equidad entre hombres y mujeres.</w:t>
      </w:r>
    </w:p>
    <w:p w14:paraId="2F34FE77" w14:textId="77777777" w:rsidR="00E17303" w:rsidRDefault="00E17303" w:rsidP="00054C38">
      <w:pPr>
        <w:jc w:val="both"/>
        <w:rPr>
          <w:rFonts w:ascii="Book Antiqua" w:hAnsi="Book Antiqua" w:cs="Arial"/>
          <w:i/>
          <w:color w:val="000000"/>
        </w:rPr>
      </w:pPr>
    </w:p>
    <w:p w14:paraId="30CCF933" w14:textId="77777777" w:rsidR="00E17303" w:rsidRDefault="00E17303" w:rsidP="00054C38">
      <w:pPr>
        <w:jc w:val="both"/>
        <w:rPr>
          <w:rFonts w:ascii="Book Antiqua" w:hAnsi="Book Antiqua" w:cs="Arial"/>
          <w:i/>
          <w:color w:val="000000"/>
        </w:rPr>
      </w:pPr>
    </w:p>
    <w:p w14:paraId="69022370" w14:textId="77777777" w:rsidR="00E17303" w:rsidRPr="0062722A" w:rsidRDefault="00E17303" w:rsidP="00054C38">
      <w:pPr>
        <w:jc w:val="both"/>
        <w:rPr>
          <w:rFonts w:ascii="Book Antiqua" w:hAnsi="Book Antiqua" w:cs="Arial"/>
          <w:i/>
          <w:color w:val="000000"/>
        </w:rPr>
      </w:pPr>
    </w:p>
    <w:p w14:paraId="5BECE014" w14:textId="77777777" w:rsidR="00054C38" w:rsidRPr="0062722A" w:rsidRDefault="00054C38" w:rsidP="00054C38">
      <w:pPr>
        <w:jc w:val="both"/>
        <w:rPr>
          <w:rFonts w:ascii="Book Antiqua" w:hAnsi="Book Antiqua" w:cs="Arial"/>
          <w:i/>
          <w:color w:val="000000"/>
        </w:rPr>
      </w:pPr>
    </w:p>
    <w:p w14:paraId="295D514F" w14:textId="77777777" w:rsidR="00054C38" w:rsidRPr="0062722A" w:rsidRDefault="00054C38" w:rsidP="00054C38">
      <w:pPr>
        <w:jc w:val="both"/>
        <w:rPr>
          <w:rFonts w:ascii="Book Antiqua" w:hAnsi="Book Antiqua" w:cs="Arial"/>
          <w:i/>
          <w:color w:val="000000"/>
        </w:rPr>
      </w:pPr>
      <w:r w:rsidRPr="0062722A">
        <w:rPr>
          <w:rFonts w:ascii="Book Antiqua" w:hAnsi="Book Antiqua" w:cs="Arial"/>
          <w:i/>
          <w:color w:val="000000"/>
        </w:rPr>
        <w:t>También se refiere al apoyo técnico, administrativo, financiero, comunicacional, tecnológico, de control, cooperación y rendición de cuentas que se realiza para el logro de los objetivos de las actividades sustantivas.</w:t>
      </w:r>
    </w:p>
    <w:p w14:paraId="0A23E647" w14:textId="77777777" w:rsidR="00C81B69" w:rsidRPr="0062722A" w:rsidRDefault="00C81B69" w:rsidP="00054C38">
      <w:pPr>
        <w:rPr>
          <w:rFonts w:ascii="Book Antiqua" w:hAnsi="Book Antiqua"/>
          <w:i/>
        </w:rPr>
      </w:pPr>
    </w:p>
    <w:p w14:paraId="682BECC1" w14:textId="1ACAD796" w:rsidR="00054C38" w:rsidRPr="00B62C60" w:rsidRDefault="00054C38" w:rsidP="00054C38">
      <w:pPr>
        <w:pStyle w:val="Ttulo1"/>
        <w:ind w:left="284" w:hanging="284"/>
        <w:jc w:val="both"/>
      </w:pPr>
      <w:bookmarkStart w:id="16" w:name="_Toc99009989"/>
      <w:bookmarkStart w:id="17" w:name="_Toc161841744"/>
      <w:r>
        <w:t xml:space="preserve">2. </w:t>
      </w:r>
      <w:r w:rsidRPr="00BB3C12">
        <w:rPr>
          <w:rFonts w:ascii="Book Antiqua" w:eastAsia="Calibri" w:hAnsi="Book Antiqua" w:cs="Calibri"/>
          <w:bCs/>
        </w:rPr>
        <w:t>Propuesta de medidas de transparencia y eliminación del gasto superfluo conforme a principios de austeridad y responsabilidad fiscal</w:t>
      </w:r>
      <w:bookmarkEnd w:id="16"/>
      <w:bookmarkEnd w:id="17"/>
      <w:r w:rsidRPr="00B62C60">
        <w:t xml:space="preserve"> </w:t>
      </w:r>
    </w:p>
    <w:p w14:paraId="7826A29E" w14:textId="77777777" w:rsidR="00054C38" w:rsidRPr="0062722A" w:rsidRDefault="00054C38" w:rsidP="00054C38">
      <w:pPr>
        <w:jc w:val="both"/>
        <w:rPr>
          <w:rFonts w:ascii="Book Antiqua" w:hAnsi="Book Antiqua"/>
          <w:i/>
        </w:rPr>
      </w:pPr>
    </w:p>
    <w:p w14:paraId="7D3986EC" w14:textId="77777777" w:rsidR="00054C38" w:rsidRDefault="00054C38" w:rsidP="00054C38">
      <w:pPr>
        <w:jc w:val="both"/>
        <w:rPr>
          <w:rFonts w:ascii="Book Antiqua" w:hAnsi="Book Antiqua"/>
          <w:i/>
          <w:lang w:val="es-MX" w:eastAsia="es-ES"/>
        </w:rPr>
      </w:pPr>
      <w:r w:rsidRPr="0062722A">
        <w:rPr>
          <w:rFonts w:ascii="Book Antiqua" w:hAnsi="Book Antiqua"/>
          <w:i/>
        </w:rPr>
        <w:t>La Seprem con el fin de transparentar el gasto y eliminar gastos superfluos</w:t>
      </w:r>
      <w:r>
        <w:rPr>
          <w:rFonts w:ascii="Book Antiqua" w:hAnsi="Book Antiqua"/>
          <w:i/>
        </w:rPr>
        <w:t>,</w:t>
      </w:r>
      <w:r w:rsidRPr="0062722A">
        <w:rPr>
          <w:rFonts w:ascii="Book Antiqua" w:hAnsi="Book Antiqua"/>
          <w:i/>
        </w:rPr>
        <w:t xml:space="preserve"> </w:t>
      </w:r>
      <w:r w:rsidRPr="0062722A">
        <w:rPr>
          <w:rFonts w:ascii="Book Antiqua" w:hAnsi="Book Antiqua"/>
          <w:i/>
          <w:lang w:val="es-MX" w:eastAsia="es-ES"/>
        </w:rPr>
        <w:t>detalla a continuación las medidas a ser implementadas.</w:t>
      </w:r>
    </w:p>
    <w:p w14:paraId="0B4ACCA2" w14:textId="77777777" w:rsidR="00054C38" w:rsidRPr="0062722A" w:rsidRDefault="00054C38" w:rsidP="00054C38">
      <w:pPr>
        <w:jc w:val="both"/>
        <w:rPr>
          <w:rFonts w:ascii="Book Antiqua" w:hAnsi="Book Antiqua"/>
          <w:i/>
          <w:lang w:val="es-MX" w:eastAsia="es-ES"/>
        </w:rPr>
      </w:pPr>
    </w:p>
    <w:p w14:paraId="07A552A9" w14:textId="3E2CB6A7" w:rsidR="005617EA" w:rsidRPr="00287171" w:rsidRDefault="00054C38" w:rsidP="006708FD">
      <w:pPr>
        <w:spacing w:after="160" w:line="278" w:lineRule="auto"/>
        <w:rPr>
          <w:rFonts w:ascii="Book Antiqua" w:hAnsi="Book Antiqua"/>
          <w:b/>
          <w:bCs/>
          <w:i/>
          <w:iCs/>
        </w:rPr>
      </w:pPr>
      <w:bookmarkStart w:id="18" w:name="_Toc99009990"/>
      <w:r w:rsidRPr="00287171">
        <w:rPr>
          <w:rFonts w:ascii="Book Antiqua" w:hAnsi="Book Antiqua"/>
          <w:b/>
          <w:bCs/>
          <w:i/>
          <w:iCs/>
        </w:rPr>
        <w:t>Normas de eficiencia, control y contención del Gasto Público</w:t>
      </w:r>
      <w:bookmarkEnd w:id="18"/>
    </w:p>
    <w:p w14:paraId="699884C8" w14:textId="77777777" w:rsidR="00F86410" w:rsidRDefault="005617EA" w:rsidP="00F86410">
      <w:pPr>
        <w:numPr>
          <w:ilvl w:val="0"/>
          <w:numId w:val="8"/>
        </w:numPr>
        <w:tabs>
          <w:tab w:val="clear" w:pos="1440"/>
          <w:tab w:val="num" w:pos="851"/>
        </w:tabs>
        <w:spacing w:after="160" w:line="278" w:lineRule="auto"/>
        <w:ind w:left="567" w:hanging="567"/>
        <w:jc w:val="both"/>
        <w:rPr>
          <w:rFonts w:ascii="Book Antiqua" w:hAnsi="Book Antiqua"/>
          <w:i/>
        </w:rPr>
      </w:pPr>
      <w:r w:rsidRPr="0062722A">
        <w:rPr>
          <w:rFonts w:ascii="Book Antiqua" w:hAnsi="Book Antiqua"/>
          <w:i/>
        </w:rPr>
        <w:t>L</w:t>
      </w:r>
      <w:r w:rsidR="00406AEC">
        <w:rPr>
          <w:rFonts w:ascii="Book Antiqua" w:hAnsi="Book Antiqua"/>
          <w:i/>
        </w:rPr>
        <w:t>os Órganos, Direcciones y Unidades</w:t>
      </w:r>
      <w:r w:rsidRPr="0062722A">
        <w:rPr>
          <w:rFonts w:ascii="Book Antiqua" w:hAnsi="Book Antiqua"/>
          <w:i/>
        </w:rPr>
        <w:t xml:space="preserve"> de la Seprem, no deberán contraer compromisos presupuestarios superiores a los programados en sus respectivos Planes Operativos Anuales -POA-, y en los casos en los cuales deban hacer erogaciones necesarias para el cumplimiento de sus metas, deberá presentar los ajustes a los POA con las justificaciones pertinentes. Así mismo velarán por la calidad del gasto público.</w:t>
      </w:r>
    </w:p>
    <w:p w14:paraId="21870DF8" w14:textId="77777777" w:rsidR="00F86410" w:rsidRDefault="005617EA" w:rsidP="00F86410">
      <w:pPr>
        <w:numPr>
          <w:ilvl w:val="0"/>
          <w:numId w:val="8"/>
        </w:numPr>
        <w:tabs>
          <w:tab w:val="clear" w:pos="1440"/>
          <w:tab w:val="num" w:pos="851"/>
        </w:tabs>
        <w:spacing w:after="160" w:line="278" w:lineRule="auto"/>
        <w:ind w:left="567" w:hanging="567"/>
        <w:jc w:val="both"/>
        <w:rPr>
          <w:rFonts w:ascii="Book Antiqua" w:hAnsi="Book Antiqua"/>
          <w:i/>
        </w:rPr>
      </w:pPr>
      <w:r w:rsidRPr="00F86410">
        <w:rPr>
          <w:rFonts w:ascii="Book Antiqua" w:hAnsi="Book Antiqua"/>
          <w:i/>
        </w:rPr>
        <w:t xml:space="preserve">Los gastos de telefonía </w:t>
      </w:r>
      <w:r w:rsidR="00811D96" w:rsidRPr="00F86410">
        <w:rPr>
          <w:rFonts w:ascii="Book Antiqua" w:hAnsi="Book Antiqua"/>
          <w:i/>
        </w:rPr>
        <w:t>celular</w:t>
      </w:r>
      <w:r w:rsidRPr="00F86410">
        <w:rPr>
          <w:rFonts w:ascii="Book Antiqua" w:hAnsi="Book Antiqua"/>
          <w:i/>
        </w:rPr>
        <w:t xml:space="preserve"> no podrán ser mayores al límite establecido en el artículo 27 literal c) del Decreto 54-2022 Ley del Presupuesto General de Ingresos y Egresos del Estado para el ejercicio fiscal 2023, vigente para el ejercicio fiscal 2024.</w:t>
      </w:r>
    </w:p>
    <w:p w14:paraId="4C6C179F" w14:textId="77777777" w:rsidR="00F86410" w:rsidRDefault="002E289A" w:rsidP="00F86410">
      <w:pPr>
        <w:numPr>
          <w:ilvl w:val="0"/>
          <w:numId w:val="8"/>
        </w:numPr>
        <w:tabs>
          <w:tab w:val="clear" w:pos="1440"/>
          <w:tab w:val="num" w:pos="851"/>
        </w:tabs>
        <w:spacing w:after="160" w:line="278" w:lineRule="auto"/>
        <w:ind w:left="567" w:hanging="567"/>
        <w:jc w:val="both"/>
        <w:rPr>
          <w:rFonts w:ascii="Book Antiqua" w:hAnsi="Book Antiqua"/>
          <w:i/>
        </w:rPr>
      </w:pPr>
      <w:r w:rsidRPr="00F86410">
        <w:rPr>
          <w:rFonts w:ascii="Book Antiqua" w:hAnsi="Book Antiqua"/>
          <w:i/>
        </w:rPr>
        <w:t>Se estará priorizando el pago de servicios personales, servicios básicos e insumos indispensables para el funcionamiento de la Seprem.</w:t>
      </w:r>
    </w:p>
    <w:p w14:paraId="2A627893" w14:textId="77777777" w:rsidR="00F86410" w:rsidRDefault="005617EA" w:rsidP="00F86410">
      <w:pPr>
        <w:numPr>
          <w:ilvl w:val="0"/>
          <w:numId w:val="8"/>
        </w:numPr>
        <w:tabs>
          <w:tab w:val="clear" w:pos="1440"/>
          <w:tab w:val="num" w:pos="851"/>
        </w:tabs>
        <w:spacing w:after="160" w:line="278" w:lineRule="auto"/>
        <w:ind w:left="567" w:hanging="567"/>
        <w:jc w:val="both"/>
        <w:rPr>
          <w:rFonts w:ascii="Book Antiqua" w:hAnsi="Book Antiqua"/>
          <w:i/>
        </w:rPr>
      </w:pPr>
      <w:r w:rsidRPr="00F86410">
        <w:rPr>
          <w:rFonts w:ascii="Book Antiqua" w:hAnsi="Book Antiqua"/>
          <w:i/>
        </w:rPr>
        <w:t>Se hará uso eficiente de los vehículos y combustible, cada dependencia solicitará la asignación de vehículos de acuerdo con la normativa vigente, para que la dependencia responsable programe adecuadamente las comisiones y los recorridos sean más productivos.</w:t>
      </w:r>
    </w:p>
    <w:p w14:paraId="4ABAFF86" w14:textId="5A0C7146" w:rsidR="005617EA" w:rsidRPr="00F86410" w:rsidRDefault="005617EA" w:rsidP="00F86410">
      <w:pPr>
        <w:numPr>
          <w:ilvl w:val="0"/>
          <w:numId w:val="8"/>
        </w:numPr>
        <w:tabs>
          <w:tab w:val="clear" w:pos="1440"/>
          <w:tab w:val="num" w:pos="851"/>
        </w:tabs>
        <w:spacing w:after="160" w:line="278" w:lineRule="auto"/>
        <w:ind w:left="567" w:hanging="567"/>
        <w:jc w:val="both"/>
        <w:rPr>
          <w:rFonts w:ascii="Book Antiqua" w:hAnsi="Book Antiqua"/>
          <w:i/>
        </w:rPr>
      </w:pPr>
      <w:r w:rsidRPr="00F86410">
        <w:rPr>
          <w:rFonts w:ascii="Book Antiqua" w:hAnsi="Book Antiqua"/>
          <w:i/>
        </w:rPr>
        <w:t>Las comisiones oficiales al interior del país serán programadas, de tal manera que el pago de viáticos, uso de vehículos y consumo de combustible se realice de manera racional.</w:t>
      </w:r>
    </w:p>
    <w:p w14:paraId="16261FAC" w14:textId="77777777" w:rsidR="005617EA" w:rsidRDefault="005617EA" w:rsidP="005617EA">
      <w:pPr>
        <w:pStyle w:val="Prrafodelista"/>
        <w:rPr>
          <w:rFonts w:ascii="Book Antiqua" w:hAnsi="Book Antiqua"/>
          <w:i/>
        </w:rPr>
      </w:pPr>
    </w:p>
    <w:p w14:paraId="2621506C" w14:textId="77777777" w:rsidR="00F86410" w:rsidRDefault="00F86410" w:rsidP="005617EA">
      <w:pPr>
        <w:pStyle w:val="Prrafodelista"/>
        <w:rPr>
          <w:rFonts w:ascii="Book Antiqua" w:hAnsi="Book Antiqua"/>
          <w:i/>
        </w:rPr>
      </w:pPr>
    </w:p>
    <w:p w14:paraId="7863EB06" w14:textId="77777777" w:rsidR="00F86410" w:rsidRDefault="00F86410" w:rsidP="005617EA">
      <w:pPr>
        <w:pStyle w:val="Prrafodelista"/>
        <w:rPr>
          <w:rFonts w:ascii="Book Antiqua" w:hAnsi="Book Antiqua"/>
          <w:i/>
        </w:rPr>
      </w:pPr>
    </w:p>
    <w:p w14:paraId="1FB74CEB" w14:textId="77777777" w:rsidR="00F86410" w:rsidRDefault="00F86410" w:rsidP="005617EA">
      <w:pPr>
        <w:pStyle w:val="Prrafodelista"/>
        <w:rPr>
          <w:rFonts w:ascii="Book Antiqua" w:hAnsi="Book Antiqua"/>
          <w:i/>
        </w:rPr>
      </w:pPr>
    </w:p>
    <w:p w14:paraId="0A20B8ED" w14:textId="77777777" w:rsidR="00F86410" w:rsidRDefault="00F86410" w:rsidP="005617EA">
      <w:pPr>
        <w:pStyle w:val="Prrafodelista"/>
        <w:rPr>
          <w:rFonts w:ascii="Book Antiqua" w:hAnsi="Book Antiqua"/>
          <w:i/>
        </w:rPr>
      </w:pPr>
    </w:p>
    <w:p w14:paraId="061FFA2D" w14:textId="77777777" w:rsidR="00F86410" w:rsidRDefault="00F86410" w:rsidP="005617EA">
      <w:pPr>
        <w:pStyle w:val="Prrafodelista"/>
        <w:rPr>
          <w:rFonts w:ascii="Book Antiqua" w:hAnsi="Book Antiqua"/>
          <w:i/>
        </w:rPr>
      </w:pPr>
    </w:p>
    <w:p w14:paraId="42F23B5F" w14:textId="77777777" w:rsidR="00F86410" w:rsidRDefault="00F86410" w:rsidP="005617EA">
      <w:pPr>
        <w:pStyle w:val="Prrafodelista"/>
        <w:rPr>
          <w:rFonts w:ascii="Book Antiqua" w:hAnsi="Book Antiqua"/>
          <w:i/>
        </w:rPr>
      </w:pPr>
    </w:p>
    <w:p w14:paraId="61E0D74A" w14:textId="77777777" w:rsidR="00F86410" w:rsidRDefault="00F86410" w:rsidP="005617EA">
      <w:pPr>
        <w:pStyle w:val="Prrafodelista"/>
        <w:rPr>
          <w:rFonts w:ascii="Book Antiqua" w:hAnsi="Book Antiqua"/>
          <w:i/>
        </w:rPr>
      </w:pPr>
    </w:p>
    <w:p w14:paraId="46B230D9" w14:textId="77777777" w:rsidR="00F86410" w:rsidRDefault="00F86410" w:rsidP="005617EA">
      <w:pPr>
        <w:pStyle w:val="Prrafodelista"/>
        <w:rPr>
          <w:rFonts w:ascii="Book Antiqua" w:hAnsi="Book Antiqua"/>
          <w:i/>
        </w:rPr>
      </w:pPr>
    </w:p>
    <w:p w14:paraId="2760A23D" w14:textId="1E4606CF" w:rsidR="005617EA" w:rsidRPr="00287171" w:rsidRDefault="005617EA" w:rsidP="00287171">
      <w:pPr>
        <w:spacing w:after="160" w:line="278" w:lineRule="auto"/>
        <w:rPr>
          <w:rFonts w:ascii="Book Antiqua" w:hAnsi="Book Antiqua"/>
          <w:b/>
          <w:bCs/>
          <w:i/>
          <w:iCs/>
        </w:rPr>
      </w:pPr>
      <w:r w:rsidRPr="00287171">
        <w:rPr>
          <w:rFonts w:ascii="Book Antiqua" w:hAnsi="Book Antiqua"/>
          <w:b/>
          <w:bCs/>
          <w:i/>
          <w:iCs/>
        </w:rPr>
        <w:t>Cuotas Financieras</w:t>
      </w:r>
    </w:p>
    <w:p w14:paraId="413CBDED" w14:textId="51680CBB" w:rsidR="005617EA" w:rsidRPr="0062722A" w:rsidRDefault="00406AEC" w:rsidP="00F86410">
      <w:pPr>
        <w:numPr>
          <w:ilvl w:val="0"/>
          <w:numId w:val="9"/>
        </w:numPr>
        <w:tabs>
          <w:tab w:val="clear" w:pos="1440"/>
          <w:tab w:val="num" w:pos="709"/>
        </w:tabs>
        <w:spacing w:after="160" w:line="259" w:lineRule="auto"/>
        <w:ind w:left="567" w:hanging="567"/>
        <w:jc w:val="both"/>
        <w:rPr>
          <w:rFonts w:ascii="Book Antiqua" w:hAnsi="Book Antiqua"/>
          <w:i/>
        </w:rPr>
      </w:pPr>
      <w:r>
        <w:rPr>
          <w:rFonts w:ascii="Book Antiqua" w:hAnsi="Book Antiqua"/>
          <w:i/>
        </w:rPr>
        <w:t>Los Órganos, Direcciones y Unidades</w:t>
      </w:r>
      <w:r w:rsidRPr="0062722A">
        <w:rPr>
          <w:rFonts w:ascii="Book Antiqua" w:hAnsi="Book Antiqua"/>
          <w:i/>
        </w:rPr>
        <w:t xml:space="preserve"> </w:t>
      </w:r>
      <w:r w:rsidR="005617EA" w:rsidRPr="0062722A">
        <w:rPr>
          <w:rFonts w:ascii="Book Antiqua" w:hAnsi="Book Antiqua"/>
          <w:i/>
        </w:rPr>
        <w:t>de la Secretaría solicitarán cuota financiera con estricto apego a las directrices emitidas por la Dirección Financiera.</w:t>
      </w:r>
    </w:p>
    <w:p w14:paraId="524EF6AD" w14:textId="77777777" w:rsidR="005617EA" w:rsidRPr="0062722A" w:rsidRDefault="005617EA" w:rsidP="00F86410">
      <w:pPr>
        <w:tabs>
          <w:tab w:val="num" w:pos="709"/>
        </w:tabs>
        <w:ind w:left="567" w:hanging="567"/>
        <w:jc w:val="both"/>
        <w:rPr>
          <w:rFonts w:ascii="Book Antiqua" w:hAnsi="Book Antiqua"/>
          <w:i/>
        </w:rPr>
      </w:pPr>
    </w:p>
    <w:p w14:paraId="3A5A32EC" w14:textId="0673AF66" w:rsidR="005617EA" w:rsidRDefault="005617EA" w:rsidP="00F86410">
      <w:pPr>
        <w:numPr>
          <w:ilvl w:val="0"/>
          <w:numId w:val="9"/>
        </w:numPr>
        <w:tabs>
          <w:tab w:val="clear" w:pos="1440"/>
          <w:tab w:val="num" w:pos="709"/>
        </w:tabs>
        <w:spacing w:after="160" w:line="259" w:lineRule="auto"/>
        <w:ind w:left="567" w:hanging="567"/>
        <w:jc w:val="both"/>
        <w:rPr>
          <w:rFonts w:ascii="Book Antiqua" w:hAnsi="Book Antiqua"/>
          <w:i/>
        </w:rPr>
      </w:pPr>
      <w:r w:rsidRPr="0062722A">
        <w:rPr>
          <w:rFonts w:ascii="Book Antiqua" w:hAnsi="Book Antiqua"/>
          <w:i/>
        </w:rPr>
        <w:t>De acuerdo a la cuota financiera aprobada, se le debe dar prioridad al pago de</w:t>
      </w:r>
      <w:r w:rsidR="00197006">
        <w:rPr>
          <w:rFonts w:ascii="Book Antiqua" w:hAnsi="Book Antiqua"/>
          <w:i/>
        </w:rPr>
        <w:t xml:space="preserve"> </w:t>
      </w:r>
      <w:proofErr w:type="gramStart"/>
      <w:r w:rsidR="00197006">
        <w:rPr>
          <w:rFonts w:ascii="Book Antiqua" w:hAnsi="Book Antiqua"/>
          <w:i/>
        </w:rPr>
        <w:t>los</w:t>
      </w:r>
      <w:r w:rsidRPr="0062722A">
        <w:rPr>
          <w:rFonts w:ascii="Book Antiqua" w:hAnsi="Book Antiqua"/>
          <w:i/>
        </w:rPr>
        <w:t xml:space="preserve">  </w:t>
      </w:r>
      <w:r w:rsidR="00895143">
        <w:rPr>
          <w:rFonts w:ascii="Book Antiqua" w:hAnsi="Book Antiqua"/>
          <w:i/>
        </w:rPr>
        <w:t>s</w:t>
      </w:r>
      <w:r w:rsidRPr="0062722A">
        <w:rPr>
          <w:rFonts w:ascii="Book Antiqua" w:hAnsi="Book Antiqua"/>
          <w:i/>
        </w:rPr>
        <w:t>ervicios</w:t>
      </w:r>
      <w:proofErr w:type="gramEnd"/>
      <w:r w:rsidRPr="0062722A">
        <w:rPr>
          <w:rFonts w:ascii="Book Antiqua" w:hAnsi="Book Antiqua"/>
          <w:i/>
        </w:rPr>
        <w:t xml:space="preserve"> personales, honorarios, prestaciones, servicios básicos y sentencias judiciales; así como compras de suministros necesarios para el funcionamiento de cada dependencia. </w:t>
      </w:r>
    </w:p>
    <w:p w14:paraId="31606D0A" w14:textId="77777777" w:rsidR="005617EA" w:rsidRPr="00B62C60" w:rsidRDefault="005617EA" w:rsidP="00F86410">
      <w:pPr>
        <w:tabs>
          <w:tab w:val="num" w:pos="709"/>
        </w:tabs>
        <w:ind w:left="567" w:hanging="567"/>
        <w:rPr>
          <w:rFonts w:ascii="Book Antiqua" w:hAnsi="Book Antiqua"/>
          <w:i/>
        </w:rPr>
      </w:pPr>
    </w:p>
    <w:p w14:paraId="5B43E249" w14:textId="387E6380" w:rsidR="005617EA" w:rsidRPr="00B62C60" w:rsidRDefault="00406AEC" w:rsidP="00F86410">
      <w:pPr>
        <w:numPr>
          <w:ilvl w:val="0"/>
          <w:numId w:val="9"/>
        </w:numPr>
        <w:tabs>
          <w:tab w:val="clear" w:pos="1440"/>
          <w:tab w:val="num" w:pos="709"/>
        </w:tabs>
        <w:spacing w:after="160" w:line="259" w:lineRule="auto"/>
        <w:ind w:left="567" w:hanging="567"/>
        <w:jc w:val="both"/>
        <w:rPr>
          <w:rFonts w:ascii="Book Antiqua" w:hAnsi="Book Antiqua"/>
          <w:i/>
        </w:rPr>
      </w:pPr>
      <w:r>
        <w:rPr>
          <w:rFonts w:ascii="Book Antiqua" w:hAnsi="Book Antiqua"/>
          <w:i/>
        </w:rPr>
        <w:t>Los Órganos, Direcciones y Unidades</w:t>
      </w:r>
      <w:r w:rsidRPr="0062722A">
        <w:rPr>
          <w:rFonts w:ascii="Book Antiqua" w:hAnsi="Book Antiqua"/>
          <w:i/>
        </w:rPr>
        <w:t xml:space="preserve"> </w:t>
      </w:r>
      <w:r w:rsidR="005617EA" w:rsidRPr="00B62C60">
        <w:rPr>
          <w:rFonts w:ascii="Book Antiqua" w:hAnsi="Book Antiqua"/>
          <w:i/>
        </w:rPr>
        <w:t>de la Secretaría, deberán programar adecuadamente la ejecución de gastos contenidos en su POA, siendo responsables del atraso de los pagos que no hayan sido p</w:t>
      </w:r>
      <w:r w:rsidR="005617EA">
        <w:rPr>
          <w:rFonts w:ascii="Book Antiqua" w:hAnsi="Book Antiqua"/>
          <w:i/>
        </w:rPr>
        <w:t>r</w:t>
      </w:r>
      <w:r w:rsidR="005617EA" w:rsidRPr="00B62C60">
        <w:rPr>
          <w:rFonts w:ascii="Book Antiqua" w:hAnsi="Book Antiqua"/>
          <w:i/>
        </w:rPr>
        <w:t>ogramados.</w:t>
      </w:r>
    </w:p>
    <w:p w14:paraId="067F1BC8" w14:textId="77777777" w:rsidR="002F7876" w:rsidRDefault="002F7876" w:rsidP="002F7876">
      <w:pPr>
        <w:jc w:val="both"/>
        <w:rPr>
          <w:i/>
        </w:rPr>
      </w:pPr>
    </w:p>
    <w:p w14:paraId="564CF990" w14:textId="6240B30B" w:rsidR="005617EA" w:rsidRPr="00BB3C12" w:rsidRDefault="00833F61" w:rsidP="00833F61">
      <w:pPr>
        <w:pStyle w:val="Ttulo1"/>
        <w:ind w:left="284" w:hanging="284"/>
        <w:jc w:val="both"/>
        <w:rPr>
          <w:rFonts w:ascii="Book Antiqua" w:hAnsi="Book Antiqua"/>
        </w:rPr>
      </w:pPr>
      <w:bookmarkStart w:id="19" w:name="_Toc161841745"/>
      <w:r>
        <w:t>3</w:t>
      </w:r>
      <w:r w:rsidR="00F86410">
        <w:t xml:space="preserve">. </w:t>
      </w:r>
      <w:r>
        <w:t xml:space="preserve"> </w:t>
      </w:r>
      <w:r w:rsidR="005617EA" w:rsidRPr="00BB3C12">
        <w:rPr>
          <w:rFonts w:ascii="Book Antiqua" w:hAnsi="Book Antiqua"/>
        </w:rPr>
        <w:t>La</w:t>
      </w:r>
      <w:r w:rsidR="002733CF" w:rsidRPr="00BB3C12">
        <w:rPr>
          <w:rFonts w:ascii="Book Antiqua" w:hAnsi="Book Antiqua"/>
        </w:rPr>
        <w:t xml:space="preserve"> </w:t>
      </w:r>
      <w:r w:rsidR="00BB3C12" w:rsidRPr="00BB3C12">
        <w:rPr>
          <w:rFonts w:ascii="Book Antiqua" w:hAnsi="Book Antiqua"/>
        </w:rPr>
        <w:t>rendición de cuentas de la gestión institucional de libre acceso a la ciudadanía</w:t>
      </w:r>
      <w:bookmarkEnd w:id="19"/>
    </w:p>
    <w:p w14:paraId="620EEA7E" w14:textId="77777777" w:rsidR="005617EA" w:rsidRPr="0062722A" w:rsidRDefault="005617EA" w:rsidP="005617EA">
      <w:pPr>
        <w:jc w:val="both"/>
        <w:rPr>
          <w:rFonts w:ascii="Book Antiqua" w:hAnsi="Book Antiqua"/>
          <w:b/>
          <w:i/>
        </w:rPr>
      </w:pPr>
    </w:p>
    <w:p w14:paraId="7146D42A" w14:textId="13A834AD" w:rsidR="005617EA" w:rsidRDefault="005617EA" w:rsidP="005617EA">
      <w:pPr>
        <w:spacing w:line="276" w:lineRule="auto"/>
        <w:contextualSpacing/>
        <w:jc w:val="both"/>
        <w:rPr>
          <w:rFonts w:ascii="Book Antiqua" w:hAnsi="Book Antiqua"/>
          <w:i/>
        </w:rPr>
      </w:pPr>
      <w:r w:rsidRPr="0062722A">
        <w:rPr>
          <w:rFonts w:ascii="Book Antiqua" w:hAnsi="Book Antiqua"/>
          <w:i/>
        </w:rPr>
        <w:t xml:space="preserve">La Secretaría Presidencial de la Mujer, para dar cumplimiento a lo establecido en el Decreto No. 101-97, Ley Orgánica del Presupuesto; Acuerdo Gubernativo No. 540-2013, Reglamento de la Ley Orgánica del Presupuesto; Decreto No. 57-2008 Ley de Acceso a la Información Pública;  Decreto No. </w:t>
      </w:r>
      <w:r>
        <w:rPr>
          <w:rFonts w:ascii="Book Antiqua" w:hAnsi="Book Antiqua"/>
          <w:i/>
        </w:rPr>
        <w:t>54</w:t>
      </w:r>
      <w:r w:rsidRPr="0062722A">
        <w:rPr>
          <w:rFonts w:ascii="Book Antiqua" w:hAnsi="Book Antiqua"/>
          <w:i/>
        </w:rPr>
        <w:t>-202</w:t>
      </w:r>
      <w:r>
        <w:rPr>
          <w:rFonts w:ascii="Book Antiqua" w:hAnsi="Book Antiqua"/>
          <w:i/>
        </w:rPr>
        <w:t>2</w:t>
      </w:r>
      <w:r w:rsidRPr="0062722A">
        <w:rPr>
          <w:rFonts w:ascii="Book Antiqua" w:hAnsi="Book Antiqua"/>
          <w:i/>
        </w:rPr>
        <w:t xml:space="preserve"> Ley del Presupuesto General de Ingresos y Egresos del Estado para el Ejercicio </w:t>
      </w:r>
      <w:r w:rsidR="002F7876">
        <w:rPr>
          <w:rFonts w:ascii="Book Antiqua" w:hAnsi="Book Antiqua"/>
          <w:i/>
        </w:rPr>
        <w:t>Fiscal d</w:t>
      </w:r>
      <w:r w:rsidRPr="0062722A">
        <w:rPr>
          <w:rFonts w:ascii="Book Antiqua" w:hAnsi="Book Antiqua"/>
          <w:i/>
        </w:rPr>
        <w:t xml:space="preserve">os </w:t>
      </w:r>
      <w:r w:rsidR="002F7876">
        <w:rPr>
          <w:rFonts w:ascii="Book Antiqua" w:hAnsi="Book Antiqua"/>
          <w:i/>
        </w:rPr>
        <w:t>m</w:t>
      </w:r>
      <w:r w:rsidRPr="0062722A">
        <w:rPr>
          <w:rFonts w:ascii="Book Antiqua" w:hAnsi="Book Antiqua"/>
          <w:i/>
        </w:rPr>
        <w:t xml:space="preserve">il </w:t>
      </w:r>
      <w:r w:rsidR="002F7876">
        <w:rPr>
          <w:rFonts w:ascii="Book Antiqua" w:hAnsi="Book Antiqua"/>
          <w:i/>
        </w:rPr>
        <w:t>v</w:t>
      </w:r>
      <w:r>
        <w:rPr>
          <w:rFonts w:ascii="Book Antiqua" w:hAnsi="Book Antiqua"/>
          <w:i/>
        </w:rPr>
        <w:t>eintitrés</w:t>
      </w:r>
      <w:r w:rsidR="002F7876">
        <w:rPr>
          <w:rFonts w:ascii="Book Antiqua" w:hAnsi="Book Antiqua"/>
          <w:i/>
        </w:rPr>
        <w:t>, vigente para el ejercicio fiscal dos mil veinticuatro</w:t>
      </w:r>
      <w:r w:rsidRPr="0062722A">
        <w:rPr>
          <w:rFonts w:ascii="Book Antiqua" w:hAnsi="Book Antiqua"/>
          <w:i/>
        </w:rPr>
        <w:t>; y, Acuerdo Gubernativo 199-2018 Política Nacional de Datos Abiertos, implementa la rendición de cuentas de la siguiente manera:</w:t>
      </w:r>
    </w:p>
    <w:p w14:paraId="2D0204A3" w14:textId="77777777" w:rsidR="002F7876" w:rsidRDefault="002F7876" w:rsidP="005617EA">
      <w:pPr>
        <w:spacing w:line="276" w:lineRule="auto"/>
        <w:contextualSpacing/>
        <w:jc w:val="both"/>
        <w:rPr>
          <w:rFonts w:ascii="Book Antiqua" w:hAnsi="Book Antiqua"/>
          <w:i/>
        </w:rPr>
      </w:pPr>
    </w:p>
    <w:p w14:paraId="4868AD51" w14:textId="77777777" w:rsidR="00F86410" w:rsidRDefault="002F7876" w:rsidP="00F86410">
      <w:pPr>
        <w:numPr>
          <w:ilvl w:val="0"/>
          <w:numId w:val="10"/>
        </w:numPr>
        <w:spacing w:after="160" w:line="276" w:lineRule="auto"/>
        <w:ind w:left="360" w:hanging="360"/>
        <w:contextualSpacing/>
        <w:jc w:val="both"/>
        <w:rPr>
          <w:rFonts w:ascii="Book Antiqua" w:hAnsi="Book Antiqua"/>
          <w:i/>
        </w:rPr>
      </w:pPr>
      <w:r w:rsidRPr="0062722A">
        <w:rPr>
          <w:rFonts w:ascii="Book Antiqua" w:hAnsi="Book Antiqua"/>
          <w:i/>
        </w:rPr>
        <w:t>Elaboración del Informe Cuatrimestral de Gestión y Rendición de Cuentas, el cual se envía a la Dirección Técnica del Presupuesto del Ministerio de Finanzas Públicas (MINFIN), a la Secretaría de Planificación de la Presidencia (SEGEPLAN) y a la</w:t>
      </w:r>
      <w:r w:rsidRPr="00B62C60">
        <w:rPr>
          <w:rFonts w:ascii="Book Antiqua" w:hAnsi="Book Antiqua"/>
          <w:i/>
        </w:rPr>
        <w:t xml:space="preserve"> Contraloría General de Cuentas (CGC).  Este informe es publicado en la página web de la Secretaría, a efecto de que la población en general pueda tener acceso a la información</w:t>
      </w:r>
    </w:p>
    <w:p w14:paraId="554C9962" w14:textId="03E37769" w:rsidR="002F7876" w:rsidRPr="00F86410" w:rsidRDefault="002F7876" w:rsidP="00F86410">
      <w:pPr>
        <w:spacing w:after="160" w:line="276" w:lineRule="auto"/>
        <w:ind w:left="360"/>
        <w:contextualSpacing/>
        <w:jc w:val="both"/>
        <w:rPr>
          <w:rFonts w:ascii="Book Antiqua" w:hAnsi="Book Antiqua"/>
          <w:i/>
        </w:rPr>
      </w:pPr>
      <w:r w:rsidRPr="00F86410">
        <w:rPr>
          <w:rFonts w:ascii="Book Antiqua" w:hAnsi="Book Antiqua"/>
          <w:i/>
        </w:rPr>
        <w:t>referente a la ejecución presupuestaria y de metas físicas institucionales que están programadas en el Plan Operativo Anual.</w:t>
      </w:r>
    </w:p>
    <w:p w14:paraId="5AA4CE5E" w14:textId="77777777" w:rsidR="00833F61" w:rsidRPr="00B62C60" w:rsidRDefault="00833F61" w:rsidP="002F7876">
      <w:pPr>
        <w:spacing w:line="276" w:lineRule="auto"/>
        <w:ind w:left="360"/>
        <w:contextualSpacing/>
        <w:jc w:val="both"/>
        <w:rPr>
          <w:rFonts w:ascii="Book Antiqua" w:hAnsi="Book Antiqua"/>
          <w:i/>
        </w:rPr>
      </w:pPr>
    </w:p>
    <w:p w14:paraId="3A0EA9E2" w14:textId="05E04AF1" w:rsidR="002F7876" w:rsidRDefault="002F7876" w:rsidP="002F7876">
      <w:pPr>
        <w:numPr>
          <w:ilvl w:val="0"/>
          <w:numId w:val="10"/>
        </w:numPr>
        <w:spacing w:after="160" w:line="276" w:lineRule="auto"/>
        <w:ind w:left="360" w:hanging="360"/>
        <w:contextualSpacing/>
        <w:jc w:val="both"/>
        <w:rPr>
          <w:rFonts w:ascii="Book Antiqua" w:hAnsi="Book Antiqua"/>
          <w:i/>
        </w:rPr>
      </w:pPr>
      <w:r w:rsidRPr="00B62C60">
        <w:rPr>
          <w:rFonts w:ascii="Book Antiqua" w:hAnsi="Book Antiqua"/>
          <w:i/>
        </w:rPr>
        <w:t>Elaboración del Informe Cuatrimestral de Rendición de Cuentas, que se presenta a la Comisión Presidencial contra la Corrupción</w:t>
      </w:r>
      <w:r w:rsidRPr="00B62C60">
        <w:rPr>
          <w:rFonts w:ascii="Book Antiqua" w:eastAsia="Montserrat" w:hAnsi="Book Antiqua" w:cs="Times New Roman"/>
          <w:i/>
        </w:rPr>
        <w:t xml:space="preserve"> y que es</w:t>
      </w:r>
      <w:r w:rsidRPr="00B62C60">
        <w:rPr>
          <w:rFonts w:ascii="Book Antiqua" w:hAnsi="Book Antiqua"/>
          <w:i/>
        </w:rPr>
        <w:t xml:space="preserve"> publicado en la página web de la Secretaría, que contiene información de </w:t>
      </w:r>
      <w:r>
        <w:rPr>
          <w:rFonts w:ascii="Book Antiqua" w:hAnsi="Book Antiqua"/>
          <w:i/>
        </w:rPr>
        <w:t xml:space="preserve">la </w:t>
      </w:r>
      <w:r w:rsidRPr="00B62C60">
        <w:rPr>
          <w:rFonts w:ascii="Book Antiqua" w:hAnsi="Book Antiqua"/>
          <w:i/>
        </w:rPr>
        <w:t>gestión de la Secretaría.</w:t>
      </w:r>
    </w:p>
    <w:p w14:paraId="5F81CAC7" w14:textId="77777777" w:rsidR="00F86410" w:rsidRDefault="00F86410" w:rsidP="00F86410">
      <w:pPr>
        <w:spacing w:after="160" w:line="276" w:lineRule="auto"/>
        <w:contextualSpacing/>
        <w:jc w:val="both"/>
        <w:rPr>
          <w:rFonts w:ascii="Book Antiqua" w:hAnsi="Book Antiqua"/>
          <w:i/>
        </w:rPr>
      </w:pPr>
    </w:p>
    <w:p w14:paraId="546EBCA9" w14:textId="77777777" w:rsidR="00F86410" w:rsidRDefault="00F86410" w:rsidP="00F86410">
      <w:pPr>
        <w:spacing w:after="160" w:line="276" w:lineRule="auto"/>
        <w:contextualSpacing/>
        <w:jc w:val="both"/>
        <w:rPr>
          <w:rFonts w:ascii="Book Antiqua" w:hAnsi="Book Antiqua"/>
          <w:i/>
        </w:rPr>
      </w:pPr>
    </w:p>
    <w:p w14:paraId="737F3789" w14:textId="77777777" w:rsidR="00F86410" w:rsidRDefault="00F86410" w:rsidP="00F86410">
      <w:pPr>
        <w:spacing w:after="160" w:line="276" w:lineRule="auto"/>
        <w:contextualSpacing/>
        <w:jc w:val="both"/>
        <w:rPr>
          <w:rFonts w:ascii="Book Antiqua" w:hAnsi="Book Antiqua"/>
          <w:i/>
        </w:rPr>
      </w:pPr>
    </w:p>
    <w:p w14:paraId="5F981E4A" w14:textId="77777777" w:rsidR="002F7876" w:rsidRPr="00B62C60" w:rsidRDefault="002F7876" w:rsidP="002F7876">
      <w:pPr>
        <w:spacing w:line="276" w:lineRule="auto"/>
        <w:contextualSpacing/>
        <w:jc w:val="both"/>
        <w:rPr>
          <w:rFonts w:ascii="Book Antiqua" w:hAnsi="Book Antiqua"/>
          <w:i/>
        </w:rPr>
      </w:pPr>
    </w:p>
    <w:p w14:paraId="69CED8E4" w14:textId="5D5D5563" w:rsidR="002F7876" w:rsidRDefault="002F7876" w:rsidP="002F7876">
      <w:pPr>
        <w:numPr>
          <w:ilvl w:val="0"/>
          <w:numId w:val="10"/>
        </w:numPr>
        <w:spacing w:after="160" w:line="276" w:lineRule="auto"/>
        <w:ind w:left="360" w:hanging="360"/>
        <w:contextualSpacing/>
        <w:jc w:val="both"/>
        <w:rPr>
          <w:rFonts w:ascii="Book Antiqua" w:hAnsi="Book Antiqua"/>
          <w:i/>
        </w:rPr>
      </w:pPr>
      <w:r w:rsidRPr="00B62C60">
        <w:rPr>
          <w:rFonts w:ascii="Book Antiqua" w:hAnsi="Book Antiqua"/>
          <w:i/>
        </w:rPr>
        <w:t xml:space="preserve">Elaboración del Informe Cuatrimestral de Seguimiento al Clasificador Temático de Género, en el cual se reflejan las acciones planificadas </w:t>
      </w:r>
      <w:r>
        <w:rPr>
          <w:rFonts w:ascii="Book Antiqua" w:hAnsi="Book Antiqua"/>
          <w:i/>
        </w:rPr>
        <w:t xml:space="preserve">por esta Secretaría en el marco de sus funciones. </w:t>
      </w:r>
      <w:r w:rsidRPr="00B62C60">
        <w:rPr>
          <w:rFonts w:ascii="Book Antiqua" w:hAnsi="Book Antiqua"/>
          <w:i/>
        </w:rPr>
        <w:t>Este informe se envía a la Dirección Técnica del Presupuesto del Ministerio de Finanzas Públicas. En este informe se refleja la ejecución presupuestaria y ejecución de metas físicas del Programa 47: Promoción y desarrollo integral de la mujer</w:t>
      </w:r>
      <w:r>
        <w:rPr>
          <w:rFonts w:ascii="Book Antiqua" w:hAnsi="Book Antiqua"/>
          <w:i/>
        </w:rPr>
        <w:t xml:space="preserve"> y en específico la actividad presupuestaria: Gestión de políticas públicas para la equidad entre hombres y mujeres.</w:t>
      </w:r>
      <w:r w:rsidRPr="00B62C60">
        <w:rPr>
          <w:rFonts w:ascii="Book Antiqua" w:hAnsi="Book Antiqua"/>
          <w:i/>
        </w:rPr>
        <w:t xml:space="preserve">   </w:t>
      </w:r>
    </w:p>
    <w:p w14:paraId="3F63A521" w14:textId="77777777" w:rsidR="002F7876" w:rsidRPr="00B62C60" w:rsidRDefault="002F7876" w:rsidP="002F7876">
      <w:pPr>
        <w:spacing w:line="259" w:lineRule="auto"/>
        <w:contextualSpacing/>
        <w:rPr>
          <w:rFonts w:ascii="Book Antiqua" w:hAnsi="Book Antiqua"/>
          <w:i/>
        </w:rPr>
      </w:pPr>
    </w:p>
    <w:p w14:paraId="6CC2B7F4" w14:textId="77777777" w:rsidR="002F7876" w:rsidRPr="009C2E72" w:rsidRDefault="002F7876" w:rsidP="002F7876">
      <w:pPr>
        <w:numPr>
          <w:ilvl w:val="0"/>
          <w:numId w:val="10"/>
        </w:numPr>
        <w:spacing w:after="160" w:line="276" w:lineRule="auto"/>
        <w:ind w:left="360" w:hanging="360"/>
        <w:contextualSpacing/>
        <w:jc w:val="both"/>
        <w:rPr>
          <w:rFonts w:ascii="Book Antiqua" w:hAnsi="Book Antiqua"/>
          <w:i/>
        </w:rPr>
      </w:pPr>
      <w:r w:rsidRPr="00B62C60">
        <w:rPr>
          <w:rFonts w:ascii="Book Antiqua" w:hAnsi="Book Antiqua"/>
          <w:i/>
        </w:rPr>
        <w:t>Publicación mensual en la página web de la Institución, de la información referente al presupuesto asignado, modificaciones presupuestarias, ejecución presupuestaria y ejecución de metas físicas institucionales, con el fin de dar a conocer a la población en general, las acciones y procesos que se realizan en la Institución.</w:t>
      </w:r>
    </w:p>
    <w:p w14:paraId="05180B19" w14:textId="77777777" w:rsidR="002F7876" w:rsidRPr="00B62C60" w:rsidRDefault="002F7876" w:rsidP="002F7876">
      <w:pPr>
        <w:spacing w:line="276" w:lineRule="auto"/>
        <w:contextualSpacing/>
        <w:jc w:val="both"/>
        <w:rPr>
          <w:rFonts w:ascii="Book Antiqua" w:hAnsi="Book Antiqua"/>
          <w:i/>
        </w:rPr>
      </w:pPr>
    </w:p>
    <w:p w14:paraId="066E7083" w14:textId="77777777" w:rsidR="002F7876" w:rsidRDefault="002F7876" w:rsidP="002F7876">
      <w:pPr>
        <w:numPr>
          <w:ilvl w:val="0"/>
          <w:numId w:val="10"/>
        </w:numPr>
        <w:spacing w:after="160" w:line="276" w:lineRule="auto"/>
        <w:ind w:left="360" w:hanging="360"/>
        <w:jc w:val="both"/>
        <w:rPr>
          <w:rFonts w:ascii="Book Antiqua" w:hAnsi="Book Antiqua"/>
          <w:i/>
        </w:rPr>
      </w:pPr>
      <w:r w:rsidRPr="00B62C60">
        <w:rPr>
          <w:rFonts w:ascii="Book Antiqua" w:hAnsi="Book Antiqua"/>
          <w:i/>
        </w:rPr>
        <w:t>Elaboración y publicación del informe semestral del Clasificador Presupuestario con Enfoque de Género (CPEG), en el portal web de la Seprem.</w:t>
      </w:r>
    </w:p>
    <w:p w14:paraId="55DF0E6E" w14:textId="77777777" w:rsidR="002F7876" w:rsidRPr="00B62C60" w:rsidRDefault="002F7876" w:rsidP="002F7876">
      <w:pPr>
        <w:spacing w:line="276" w:lineRule="auto"/>
        <w:ind w:left="360"/>
        <w:jc w:val="both"/>
        <w:rPr>
          <w:rFonts w:ascii="Book Antiqua" w:hAnsi="Book Antiqua"/>
          <w:i/>
        </w:rPr>
      </w:pPr>
    </w:p>
    <w:p w14:paraId="69397EAE" w14:textId="77777777" w:rsidR="002F7876" w:rsidRDefault="002F7876" w:rsidP="002F7876">
      <w:pPr>
        <w:numPr>
          <w:ilvl w:val="0"/>
          <w:numId w:val="10"/>
        </w:numPr>
        <w:spacing w:after="160" w:line="276" w:lineRule="auto"/>
        <w:ind w:left="360" w:hanging="360"/>
        <w:jc w:val="both"/>
        <w:rPr>
          <w:rFonts w:ascii="Book Antiqua" w:hAnsi="Book Antiqua"/>
          <w:i/>
        </w:rPr>
      </w:pPr>
      <w:r w:rsidRPr="00B62C60">
        <w:rPr>
          <w:rFonts w:ascii="Book Antiqua" w:hAnsi="Book Antiqua"/>
          <w:i/>
        </w:rPr>
        <w:t>Publicación de información mensual de oficio establecida por los diferentes Decretos en temas de transparencia, en el portal de información pública.</w:t>
      </w:r>
    </w:p>
    <w:p w14:paraId="5DBDC88E" w14:textId="77777777" w:rsidR="002F7876" w:rsidRPr="00647F6F" w:rsidRDefault="002F7876" w:rsidP="002F7876">
      <w:pPr>
        <w:rPr>
          <w:rFonts w:ascii="Book Antiqua" w:hAnsi="Book Antiqua"/>
          <w:i/>
        </w:rPr>
      </w:pPr>
    </w:p>
    <w:p w14:paraId="54C3C647" w14:textId="77777777" w:rsidR="002F7876" w:rsidRDefault="002F7876" w:rsidP="002F7876">
      <w:pPr>
        <w:numPr>
          <w:ilvl w:val="0"/>
          <w:numId w:val="10"/>
        </w:numPr>
        <w:spacing w:after="160" w:line="276" w:lineRule="auto"/>
        <w:ind w:left="360" w:hanging="360"/>
        <w:jc w:val="both"/>
        <w:rPr>
          <w:rFonts w:ascii="Book Antiqua" w:hAnsi="Book Antiqua"/>
          <w:i/>
        </w:rPr>
      </w:pPr>
      <w:r>
        <w:rPr>
          <w:rFonts w:ascii="Book Antiqua" w:hAnsi="Book Antiqua"/>
          <w:i/>
        </w:rPr>
        <w:t>Publicación en el Sistema de Contrataciones y Adquisiciones -Guatecompras- de los procesos de adquisiciones de la SEPREM, de conformidad con lo establecido en la Ley de Contrataciones del Estado, Decreto 57-92.</w:t>
      </w:r>
    </w:p>
    <w:p w14:paraId="759A71B3" w14:textId="77777777" w:rsidR="002F7876" w:rsidRPr="009C2F28" w:rsidRDefault="002F7876" w:rsidP="002F7876">
      <w:pPr>
        <w:rPr>
          <w:rFonts w:ascii="Book Antiqua" w:hAnsi="Book Antiqua"/>
          <w:i/>
        </w:rPr>
      </w:pPr>
    </w:p>
    <w:p w14:paraId="4BECC4F4" w14:textId="59ACCC00" w:rsidR="002F7876" w:rsidRDefault="002F7876" w:rsidP="002F7876">
      <w:pPr>
        <w:numPr>
          <w:ilvl w:val="0"/>
          <w:numId w:val="10"/>
        </w:numPr>
        <w:spacing w:after="160" w:line="276" w:lineRule="auto"/>
        <w:ind w:left="360" w:hanging="360"/>
        <w:jc w:val="both"/>
        <w:rPr>
          <w:rFonts w:ascii="Book Antiqua" w:hAnsi="Book Antiqua"/>
          <w:i/>
        </w:rPr>
      </w:pPr>
      <w:r w:rsidRPr="0079124C">
        <w:rPr>
          <w:rFonts w:ascii="Book Antiqua" w:hAnsi="Book Antiqua"/>
          <w:i/>
        </w:rPr>
        <w:t>Publicar información institucional de forma clara y sencilla sobre la ejecución del presupuesto asignado y principales logros por medio del tablero de rendición de cuentas.</w:t>
      </w:r>
    </w:p>
    <w:p w14:paraId="22FA11EF" w14:textId="45463AC8" w:rsidR="00054C38" w:rsidRPr="0062722A" w:rsidRDefault="00054C38" w:rsidP="00E17303">
      <w:pPr>
        <w:pStyle w:val="Ttulo1"/>
        <w:ind w:left="0"/>
      </w:pPr>
    </w:p>
    <w:p w14:paraId="38413D75" w14:textId="59B301E9" w:rsidR="00054C38" w:rsidRDefault="00054C38" w:rsidP="00054C38">
      <w:pPr>
        <w:tabs>
          <w:tab w:val="left" w:pos="5098"/>
        </w:tabs>
        <w:spacing w:line="276" w:lineRule="auto"/>
        <w:jc w:val="both"/>
        <w:rPr>
          <w:rFonts w:ascii="Book Antiqua" w:hAnsi="Book Antiqua" w:cs="Arial"/>
          <w:i/>
          <w:color w:val="000000" w:themeColor="text1"/>
        </w:rPr>
      </w:pPr>
      <w:r w:rsidRPr="00B62C60">
        <w:rPr>
          <w:rFonts w:ascii="Book Antiqua" w:hAnsi="Book Antiqua" w:cs="Arial"/>
          <w:i/>
          <w:color w:val="000000" w:themeColor="text1"/>
        </w:rPr>
        <w:t>Guatemala, marzo de 202</w:t>
      </w:r>
      <w:r w:rsidR="00C81B69">
        <w:rPr>
          <w:rFonts w:ascii="Book Antiqua" w:hAnsi="Book Antiqua" w:cs="Arial"/>
          <w:i/>
          <w:color w:val="000000" w:themeColor="text1"/>
        </w:rPr>
        <w:t>4.</w:t>
      </w:r>
    </w:p>
    <w:p w14:paraId="4C81E837" w14:textId="77777777" w:rsidR="00054C38" w:rsidRDefault="00054C38" w:rsidP="00054C38">
      <w:pPr>
        <w:tabs>
          <w:tab w:val="left" w:pos="5098"/>
        </w:tabs>
        <w:spacing w:line="276" w:lineRule="auto"/>
        <w:jc w:val="both"/>
        <w:rPr>
          <w:rFonts w:ascii="Book Antiqua" w:hAnsi="Book Antiqua" w:cs="Arial"/>
          <w:i/>
          <w:color w:val="000000" w:themeColor="text1"/>
        </w:rPr>
      </w:pPr>
    </w:p>
    <w:p w14:paraId="2EB65A6D" w14:textId="4A9FDB27" w:rsidR="00054C38" w:rsidRPr="00F86410" w:rsidRDefault="00BC3C26" w:rsidP="00054C38">
      <w:pPr>
        <w:tabs>
          <w:tab w:val="left" w:pos="5098"/>
        </w:tabs>
        <w:spacing w:line="276" w:lineRule="auto"/>
        <w:jc w:val="right"/>
        <w:rPr>
          <w:rFonts w:ascii="Book Antiqua" w:hAnsi="Book Antiqua" w:cs="Arial"/>
          <w:b/>
          <w:bCs/>
          <w:i/>
        </w:rPr>
      </w:pPr>
      <w:r>
        <w:rPr>
          <w:rFonts w:ascii="Book Antiqua" w:hAnsi="Book Antiqua" w:cs="Arial"/>
          <w:b/>
          <w:bCs/>
          <w:i/>
        </w:rPr>
        <w:t xml:space="preserve">Ana Leticia Aguilar </w:t>
      </w:r>
      <w:proofErr w:type="spellStart"/>
      <w:r>
        <w:rPr>
          <w:rFonts w:ascii="Book Antiqua" w:hAnsi="Book Antiqua" w:cs="Arial"/>
          <w:b/>
          <w:bCs/>
          <w:i/>
        </w:rPr>
        <w:t>Theissen</w:t>
      </w:r>
      <w:proofErr w:type="spellEnd"/>
    </w:p>
    <w:p w14:paraId="24B7D646" w14:textId="05634CD4" w:rsidR="00054C38" w:rsidRPr="00F86410" w:rsidRDefault="00054C38" w:rsidP="00054C38">
      <w:pPr>
        <w:tabs>
          <w:tab w:val="left" w:pos="5098"/>
        </w:tabs>
        <w:spacing w:line="276" w:lineRule="auto"/>
        <w:jc w:val="right"/>
        <w:rPr>
          <w:rFonts w:ascii="Book Antiqua" w:hAnsi="Book Antiqua" w:cs="Arial"/>
          <w:b/>
          <w:bCs/>
          <w:i/>
        </w:rPr>
      </w:pPr>
      <w:r w:rsidRPr="00F86410">
        <w:rPr>
          <w:rFonts w:ascii="Book Antiqua" w:hAnsi="Book Antiqua" w:cs="Arial"/>
          <w:b/>
          <w:bCs/>
          <w:i/>
        </w:rPr>
        <w:t>Secretaria Presidencial de la Mujer</w:t>
      </w:r>
      <w:r w:rsidR="00591577" w:rsidRPr="00F86410">
        <w:rPr>
          <w:rFonts w:ascii="Book Antiqua" w:hAnsi="Book Antiqua" w:cs="Arial"/>
          <w:b/>
          <w:bCs/>
          <w:i/>
        </w:rPr>
        <w:t xml:space="preserve"> </w:t>
      </w:r>
    </w:p>
    <w:p w14:paraId="3BA40AA1" w14:textId="77777777" w:rsidR="00054C38" w:rsidRPr="00761D97" w:rsidRDefault="00054C38" w:rsidP="00054C38">
      <w:pPr>
        <w:jc w:val="right"/>
        <w:rPr>
          <w:rFonts w:ascii="Book Antiqua" w:hAnsi="Book Antiqua"/>
          <w:b/>
          <w:bCs/>
          <w:i/>
          <w:lang w:val="es-ES"/>
        </w:rPr>
      </w:pPr>
    </w:p>
    <w:p w14:paraId="630C4874" w14:textId="6A653EC8" w:rsidR="00805DDA" w:rsidRDefault="00805DDA" w:rsidP="00054C38">
      <w:pPr>
        <w:rPr>
          <w:rFonts w:ascii="Book Antiqua" w:eastAsia="Book Antiqua" w:hAnsi="Book Antiqua" w:cs="Book Antiqua"/>
          <w:b/>
          <w:i/>
        </w:rPr>
      </w:pPr>
    </w:p>
    <w:sectPr w:rsidR="00805DDA" w:rsidSect="009C3C24">
      <w:headerReference w:type="default" r:id="rId8"/>
      <w:footerReference w:type="default" r:id="rId9"/>
      <w:pgSz w:w="12240" w:h="15840" w:code="1"/>
      <w:pgMar w:top="1417" w:right="1701" w:bottom="1417" w:left="1701" w:header="708" w:footer="708"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8CAA95B" w14:textId="77777777" w:rsidR="009C3C24" w:rsidRDefault="009C3C24">
      <w:r>
        <w:separator/>
      </w:r>
    </w:p>
  </w:endnote>
  <w:endnote w:type="continuationSeparator" w:id="0">
    <w:p w14:paraId="751EC0FB" w14:textId="77777777" w:rsidR="009C3C24" w:rsidRDefault="009C3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ontserrat">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0AC8CC" w14:textId="77777777" w:rsidR="00833B3B" w:rsidRDefault="00000000">
    <w:pPr>
      <w:pBdr>
        <w:top w:val="nil"/>
        <w:left w:val="nil"/>
        <w:bottom w:val="nil"/>
        <w:right w:val="nil"/>
        <w:between w:val="nil"/>
      </w:pBdr>
      <w:tabs>
        <w:tab w:val="center" w:pos="4419"/>
        <w:tab w:val="right" w:pos="8838"/>
      </w:tabs>
      <w:rPr>
        <w:color w:val="000000"/>
      </w:rPr>
    </w:pPr>
    <w:r>
      <w:rPr>
        <w:noProof/>
      </w:rPr>
      <w:drawing>
        <wp:anchor distT="0" distB="0" distL="114300" distR="114300" simplePos="0" relativeHeight="251659264" behindDoc="0" locked="0" layoutInCell="1" hidden="0" allowOverlap="1" wp14:anchorId="22766775" wp14:editId="7323FFB2">
          <wp:simplePos x="0" y="0"/>
          <wp:positionH relativeFrom="column">
            <wp:posOffset>-1204595</wp:posOffset>
          </wp:positionH>
          <wp:positionV relativeFrom="paragraph">
            <wp:posOffset>-362077</wp:posOffset>
          </wp:positionV>
          <wp:extent cx="7862620" cy="783771"/>
          <wp:effectExtent l="0" t="0" r="0" b="0"/>
          <wp:wrapNone/>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862620" cy="783771"/>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3AE2F97" w14:textId="77777777" w:rsidR="009C3C24" w:rsidRDefault="009C3C24">
      <w:r>
        <w:separator/>
      </w:r>
    </w:p>
  </w:footnote>
  <w:footnote w:type="continuationSeparator" w:id="0">
    <w:p w14:paraId="3EC9B048" w14:textId="77777777" w:rsidR="009C3C24" w:rsidRDefault="009C3C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1EB232" w14:textId="77777777" w:rsidR="00833B3B" w:rsidRDefault="00000000">
    <w:pPr>
      <w:pBdr>
        <w:top w:val="nil"/>
        <w:left w:val="nil"/>
        <w:bottom w:val="nil"/>
        <w:right w:val="nil"/>
        <w:between w:val="nil"/>
      </w:pBdr>
      <w:tabs>
        <w:tab w:val="center" w:pos="4419"/>
        <w:tab w:val="right" w:pos="8838"/>
      </w:tabs>
      <w:rPr>
        <w:color w:val="000000"/>
      </w:rPr>
    </w:pPr>
    <w:r>
      <w:rPr>
        <w:noProof/>
      </w:rPr>
      <w:drawing>
        <wp:anchor distT="0" distB="0" distL="114300" distR="114300" simplePos="0" relativeHeight="251658240" behindDoc="0" locked="0" layoutInCell="1" hidden="0" allowOverlap="1" wp14:anchorId="55874793" wp14:editId="41D1A366">
          <wp:simplePos x="0" y="0"/>
          <wp:positionH relativeFrom="column">
            <wp:posOffset>-889632</wp:posOffset>
          </wp:positionH>
          <wp:positionV relativeFrom="paragraph">
            <wp:posOffset>-68054</wp:posOffset>
          </wp:positionV>
          <wp:extent cx="2350770" cy="956310"/>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350770" cy="95631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EF535D6"/>
    <w:multiLevelType w:val="hybridMultilevel"/>
    <w:tmpl w:val="7D963FAA"/>
    <w:lvl w:ilvl="0" w:tplc="3AF63854">
      <w:start w:val="3"/>
      <w:numFmt w:val="decimal"/>
      <w:lvlText w:val="%1)"/>
      <w:lvlJc w:val="left"/>
      <w:pPr>
        <w:ind w:left="360" w:hanging="360"/>
      </w:pPr>
      <w:rPr>
        <w:rFonts w:hint="default"/>
      </w:rPr>
    </w:lvl>
    <w:lvl w:ilvl="1" w:tplc="100A0019" w:tentative="1">
      <w:start w:val="1"/>
      <w:numFmt w:val="lowerLetter"/>
      <w:lvlText w:val="%2."/>
      <w:lvlJc w:val="left"/>
      <w:pPr>
        <w:ind w:left="1080" w:hanging="360"/>
      </w:pPr>
    </w:lvl>
    <w:lvl w:ilvl="2" w:tplc="100A001B" w:tentative="1">
      <w:start w:val="1"/>
      <w:numFmt w:val="lowerRoman"/>
      <w:lvlText w:val="%3."/>
      <w:lvlJc w:val="right"/>
      <w:pPr>
        <w:ind w:left="1800" w:hanging="180"/>
      </w:pPr>
    </w:lvl>
    <w:lvl w:ilvl="3" w:tplc="100A000F" w:tentative="1">
      <w:start w:val="1"/>
      <w:numFmt w:val="decimal"/>
      <w:lvlText w:val="%4."/>
      <w:lvlJc w:val="left"/>
      <w:pPr>
        <w:ind w:left="2520" w:hanging="360"/>
      </w:pPr>
    </w:lvl>
    <w:lvl w:ilvl="4" w:tplc="100A0019" w:tentative="1">
      <w:start w:val="1"/>
      <w:numFmt w:val="lowerLetter"/>
      <w:lvlText w:val="%5."/>
      <w:lvlJc w:val="left"/>
      <w:pPr>
        <w:ind w:left="3240" w:hanging="360"/>
      </w:pPr>
    </w:lvl>
    <w:lvl w:ilvl="5" w:tplc="100A001B" w:tentative="1">
      <w:start w:val="1"/>
      <w:numFmt w:val="lowerRoman"/>
      <w:lvlText w:val="%6."/>
      <w:lvlJc w:val="right"/>
      <w:pPr>
        <w:ind w:left="3960" w:hanging="180"/>
      </w:pPr>
    </w:lvl>
    <w:lvl w:ilvl="6" w:tplc="100A000F" w:tentative="1">
      <w:start w:val="1"/>
      <w:numFmt w:val="decimal"/>
      <w:lvlText w:val="%7."/>
      <w:lvlJc w:val="left"/>
      <w:pPr>
        <w:ind w:left="4680" w:hanging="360"/>
      </w:pPr>
    </w:lvl>
    <w:lvl w:ilvl="7" w:tplc="100A0019" w:tentative="1">
      <w:start w:val="1"/>
      <w:numFmt w:val="lowerLetter"/>
      <w:lvlText w:val="%8."/>
      <w:lvlJc w:val="left"/>
      <w:pPr>
        <w:ind w:left="5400" w:hanging="360"/>
      </w:pPr>
    </w:lvl>
    <w:lvl w:ilvl="8" w:tplc="100A001B" w:tentative="1">
      <w:start w:val="1"/>
      <w:numFmt w:val="lowerRoman"/>
      <w:lvlText w:val="%9."/>
      <w:lvlJc w:val="right"/>
      <w:pPr>
        <w:ind w:left="6120" w:hanging="180"/>
      </w:pPr>
    </w:lvl>
  </w:abstractNum>
  <w:abstractNum w:abstractNumId="1" w15:restartNumberingAfterBreak="0">
    <w:nsid w:val="56607A99"/>
    <w:multiLevelType w:val="multilevel"/>
    <w:tmpl w:val="45900B34"/>
    <w:lvl w:ilvl="0">
      <w:start w:val="1"/>
      <w:numFmt w:val="decimal"/>
      <w:lvlText w:val="%1."/>
      <w:lvlJc w:val="left"/>
      <w:pPr>
        <w:tabs>
          <w:tab w:val="num" w:pos="1440"/>
        </w:tabs>
        <w:ind w:left="1440" w:hanging="720"/>
      </w:pPr>
    </w:lvl>
    <w:lvl w:ilvl="1">
      <w:start w:val="1"/>
      <w:numFmt w:val="decimal"/>
      <w:lvlText w:val="%2."/>
      <w:lvlJc w:val="left"/>
      <w:pPr>
        <w:tabs>
          <w:tab w:val="num" w:pos="2160"/>
        </w:tabs>
        <w:ind w:left="2160" w:hanging="720"/>
      </w:pPr>
    </w:lvl>
    <w:lvl w:ilvl="2">
      <w:start w:val="1"/>
      <w:numFmt w:val="decimal"/>
      <w:lvlText w:val="%3."/>
      <w:lvlJc w:val="left"/>
      <w:pPr>
        <w:tabs>
          <w:tab w:val="num" w:pos="2880"/>
        </w:tabs>
        <w:ind w:left="2880" w:hanging="720"/>
      </w:pPr>
    </w:lvl>
    <w:lvl w:ilvl="3">
      <w:start w:val="1"/>
      <w:numFmt w:val="decimal"/>
      <w:lvlText w:val="%4."/>
      <w:lvlJc w:val="left"/>
      <w:pPr>
        <w:tabs>
          <w:tab w:val="num" w:pos="3600"/>
        </w:tabs>
        <w:ind w:left="3600" w:hanging="720"/>
      </w:pPr>
    </w:lvl>
    <w:lvl w:ilvl="4">
      <w:start w:val="1"/>
      <w:numFmt w:val="decimal"/>
      <w:lvlText w:val="%5."/>
      <w:lvlJc w:val="left"/>
      <w:pPr>
        <w:tabs>
          <w:tab w:val="num" w:pos="4320"/>
        </w:tabs>
        <w:ind w:left="4320" w:hanging="720"/>
      </w:pPr>
    </w:lvl>
    <w:lvl w:ilvl="5">
      <w:start w:val="1"/>
      <w:numFmt w:val="decimal"/>
      <w:lvlText w:val="%6."/>
      <w:lvlJc w:val="left"/>
      <w:pPr>
        <w:tabs>
          <w:tab w:val="num" w:pos="5040"/>
        </w:tabs>
        <w:ind w:left="5040" w:hanging="720"/>
      </w:pPr>
    </w:lvl>
    <w:lvl w:ilvl="6">
      <w:start w:val="1"/>
      <w:numFmt w:val="decimal"/>
      <w:lvlText w:val="%7."/>
      <w:lvlJc w:val="left"/>
      <w:pPr>
        <w:tabs>
          <w:tab w:val="num" w:pos="5760"/>
        </w:tabs>
        <w:ind w:left="5760" w:hanging="720"/>
      </w:pPr>
    </w:lvl>
    <w:lvl w:ilvl="7">
      <w:start w:val="1"/>
      <w:numFmt w:val="decimal"/>
      <w:lvlText w:val="%8."/>
      <w:lvlJc w:val="left"/>
      <w:pPr>
        <w:tabs>
          <w:tab w:val="num" w:pos="6480"/>
        </w:tabs>
        <w:ind w:left="6480" w:hanging="720"/>
      </w:pPr>
    </w:lvl>
    <w:lvl w:ilvl="8">
      <w:start w:val="1"/>
      <w:numFmt w:val="decimal"/>
      <w:lvlText w:val="%9."/>
      <w:lvlJc w:val="left"/>
      <w:pPr>
        <w:tabs>
          <w:tab w:val="num" w:pos="7200"/>
        </w:tabs>
        <w:ind w:left="7200" w:hanging="720"/>
      </w:pPr>
    </w:lvl>
  </w:abstractNum>
  <w:abstractNum w:abstractNumId="2" w15:restartNumberingAfterBreak="0">
    <w:nsid w:val="59E31A55"/>
    <w:multiLevelType w:val="hybridMultilevel"/>
    <w:tmpl w:val="A51CD518"/>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3" w15:restartNumberingAfterBreak="0">
    <w:nsid w:val="62AF2920"/>
    <w:multiLevelType w:val="multilevel"/>
    <w:tmpl w:val="163098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6F625F53"/>
    <w:multiLevelType w:val="multilevel"/>
    <w:tmpl w:val="7F148432"/>
    <w:lvl w:ilvl="0">
      <w:start w:val="1"/>
      <w:numFmt w:val="low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421218336">
    <w:abstractNumId w:val="1"/>
  </w:num>
  <w:num w:numId="2" w16cid:durableId="72117840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37774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321955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243006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351634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8887968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5186627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320769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6325506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19305097">
    <w:abstractNumId w:val="3"/>
  </w:num>
  <w:num w:numId="12" w16cid:durableId="1184514060">
    <w:abstractNumId w:val="2"/>
  </w:num>
  <w:num w:numId="13" w16cid:durableId="1260748769">
    <w:abstractNumId w:val="4"/>
  </w:num>
  <w:num w:numId="14" w16cid:durableId="201293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3B3B"/>
    <w:rsid w:val="00016706"/>
    <w:rsid w:val="00020484"/>
    <w:rsid w:val="00042C23"/>
    <w:rsid w:val="00054C38"/>
    <w:rsid w:val="00074DA1"/>
    <w:rsid w:val="0008739D"/>
    <w:rsid w:val="000F607E"/>
    <w:rsid w:val="00103884"/>
    <w:rsid w:val="00141D80"/>
    <w:rsid w:val="0014693C"/>
    <w:rsid w:val="001608B1"/>
    <w:rsid w:val="00197006"/>
    <w:rsid w:val="001A1F30"/>
    <w:rsid w:val="001A7571"/>
    <w:rsid w:val="001B0224"/>
    <w:rsid w:val="00225597"/>
    <w:rsid w:val="002733CF"/>
    <w:rsid w:val="00281CBF"/>
    <w:rsid w:val="00287171"/>
    <w:rsid w:val="002C1A44"/>
    <w:rsid w:val="002C38E8"/>
    <w:rsid w:val="002E289A"/>
    <w:rsid w:val="002F30BD"/>
    <w:rsid w:val="002F7876"/>
    <w:rsid w:val="0031360B"/>
    <w:rsid w:val="00337513"/>
    <w:rsid w:val="003811C1"/>
    <w:rsid w:val="003A05EB"/>
    <w:rsid w:val="003A161A"/>
    <w:rsid w:val="003D1D9C"/>
    <w:rsid w:val="003E200F"/>
    <w:rsid w:val="003F644F"/>
    <w:rsid w:val="00406AEC"/>
    <w:rsid w:val="0042408B"/>
    <w:rsid w:val="00440B0F"/>
    <w:rsid w:val="00451BC7"/>
    <w:rsid w:val="004600C0"/>
    <w:rsid w:val="0049579C"/>
    <w:rsid w:val="004D036E"/>
    <w:rsid w:val="004D172C"/>
    <w:rsid w:val="004D5C92"/>
    <w:rsid w:val="004E2629"/>
    <w:rsid w:val="004F3FCD"/>
    <w:rsid w:val="005066C5"/>
    <w:rsid w:val="00536335"/>
    <w:rsid w:val="005617EA"/>
    <w:rsid w:val="00591577"/>
    <w:rsid w:val="005A149A"/>
    <w:rsid w:val="005A76B9"/>
    <w:rsid w:val="005C3A28"/>
    <w:rsid w:val="005D62DD"/>
    <w:rsid w:val="005D67E0"/>
    <w:rsid w:val="00613304"/>
    <w:rsid w:val="006235BE"/>
    <w:rsid w:val="00630446"/>
    <w:rsid w:val="00635158"/>
    <w:rsid w:val="006708FD"/>
    <w:rsid w:val="006715F6"/>
    <w:rsid w:val="006B2C06"/>
    <w:rsid w:val="006C3F31"/>
    <w:rsid w:val="006D738D"/>
    <w:rsid w:val="006F4A96"/>
    <w:rsid w:val="00722A4E"/>
    <w:rsid w:val="00751B0D"/>
    <w:rsid w:val="00772409"/>
    <w:rsid w:val="00772655"/>
    <w:rsid w:val="007C1DCA"/>
    <w:rsid w:val="007C2642"/>
    <w:rsid w:val="007E5A79"/>
    <w:rsid w:val="007F4E31"/>
    <w:rsid w:val="00805DDA"/>
    <w:rsid w:val="00811D96"/>
    <w:rsid w:val="00833B3B"/>
    <w:rsid w:val="00833F61"/>
    <w:rsid w:val="00874F0D"/>
    <w:rsid w:val="008767CD"/>
    <w:rsid w:val="00895143"/>
    <w:rsid w:val="008D760B"/>
    <w:rsid w:val="008E60C1"/>
    <w:rsid w:val="008F24B4"/>
    <w:rsid w:val="0093206B"/>
    <w:rsid w:val="009619AC"/>
    <w:rsid w:val="00970F3F"/>
    <w:rsid w:val="00975CE0"/>
    <w:rsid w:val="009C3C24"/>
    <w:rsid w:val="00A117BD"/>
    <w:rsid w:val="00A53C90"/>
    <w:rsid w:val="00A6297E"/>
    <w:rsid w:val="00AE6F02"/>
    <w:rsid w:val="00B3319C"/>
    <w:rsid w:val="00B47010"/>
    <w:rsid w:val="00B47064"/>
    <w:rsid w:val="00B62A14"/>
    <w:rsid w:val="00BB3C12"/>
    <w:rsid w:val="00BC3C26"/>
    <w:rsid w:val="00C12D63"/>
    <w:rsid w:val="00C40389"/>
    <w:rsid w:val="00C425F1"/>
    <w:rsid w:val="00C51CE4"/>
    <w:rsid w:val="00C75BB6"/>
    <w:rsid w:val="00C81B69"/>
    <w:rsid w:val="00CC6CE7"/>
    <w:rsid w:val="00CD48DA"/>
    <w:rsid w:val="00D05D64"/>
    <w:rsid w:val="00D17E73"/>
    <w:rsid w:val="00D20802"/>
    <w:rsid w:val="00D417DC"/>
    <w:rsid w:val="00D742F8"/>
    <w:rsid w:val="00DB0E4D"/>
    <w:rsid w:val="00DE72E7"/>
    <w:rsid w:val="00E11031"/>
    <w:rsid w:val="00E13A22"/>
    <w:rsid w:val="00E15BEA"/>
    <w:rsid w:val="00E17303"/>
    <w:rsid w:val="00E91F7D"/>
    <w:rsid w:val="00EE69DF"/>
    <w:rsid w:val="00F02033"/>
    <w:rsid w:val="00F10534"/>
    <w:rsid w:val="00F11865"/>
    <w:rsid w:val="00F76C75"/>
    <w:rsid w:val="00F86410"/>
    <w:rsid w:val="00F91DE9"/>
    <w:rsid w:val="00F97D17"/>
    <w:rsid w:val="00FE58CD"/>
    <w:rsid w:val="00FF4338"/>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6B99C7"/>
  <w15:docId w15:val="{3CB9C32A-65F6-45F7-A427-C275B21AA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4"/>
        <w:szCs w:val="24"/>
        <w:lang w:val="es-GT" w:eastAsia="es-G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widowControl w:val="0"/>
      <w:spacing w:line="306" w:lineRule="auto"/>
      <w:ind w:left="1520"/>
      <w:outlineLvl w:val="0"/>
    </w:pPr>
    <w:rPr>
      <w:rFonts w:ascii="Palatino Linotype" w:eastAsia="Palatino Linotype" w:hAnsi="Palatino Linotype" w:cs="Palatino Linotype"/>
      <w:b/>
      <w:i/>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unhideWhenUsed/>
    <w:rsid w:val="003F644F"/>
    <w:pPr>
      <w:spacing w:before="100" w:beforeAutospacing="1" w:after="100" w:afterAutospacing="1"/>
    </w:pPr>
    <w:rPr>
      <w:rFonts w:ascii="Times New Roman" w:eastAsia="Times New Roman" w:hAnsi="Times New Roman" w:cs="Times New Roman"/>
    </w:rPr>
  </w:style>
  <w:style w:type="paragraph" w:styleId="Encabezado">
    <w:name w:val="header"/>
    <w:basedOn w:val="Normal"/>
    <w:link w:val="EncabezadoCar"/>
    <w:uiPriority w:val="99"/>
    <w:unhideWhenUsed/>
    <w:rsid w:val="00054C38"/>
    <w:pPr>
      <w:tabs>
        <w:tab w:val="center" w:pos="4419"/>
        <w:tab w:val="right" w:pos="8838"/>
      </w:tabs>
    </w:pPr>
  </w:style>
  <w:style w:type="character" w:customStyle="1" w:styleId="EncabezadoCar">
    <w:name w:val="Encabezado Car"/>
    <w:basedOn w:val="Fuentedeprrafopredeter"/>
    <w:link w:val="Encabezado"/>
    <w:uiPriority w:val="99"/>
    <w:rsid w:val="00054C38"/>
  </w:style>
  <w:style w:type="paragraph" w:styleId="Piedepgina">
    <w:name w:val="footer"/>
    <w:basedOn w:val="Normal"/>
    <w:link w:val="PiedepginaCar"/>
    <w:uiPriority w:val="99"/>
    <w:unhideWhenUsed/>
    <w:rsid w:val="00054C38"/>
    <w:pPr>
      <w:tabs>
        <w:tab w:val="center" w:pos="4419"/>
        <w:tab w:val="right" w:pos="8838"/>
      </w:tabs>
    </w:pPr>
  </w:style>
  <w:style w:type="character" w:customStyle="1" w:styleId="PiedepginaCar">
    <w:name w:val="Pie de página Car"/>
    <w:basedOn w:val="Fuentedeprrafopredeter"/>
    <w:link w:val="Piedepgina"/>
    <w:uiPriority w:val="99"/>
    <w:rsid w:val="00054C38"/>
  </w:style>
  <w:style w:type="paragraph" w:styleId="Prrafodelista">
    <w:name w:val="List Paragraph"/>
    <w:basedOn w:val="Normal"/>
    <w:uiPriority w:val="34"/>
    <w:qFormat/>
    <w:rsid w:val="00E17303"/>
    <w:pPr>
      <w:ind w:left="720"/>
      <w:contextualSpacing/>
    </w:pPr>
  </w:style>
  <w:style w:type="character" w:styleId="Refdecomentario">
    <w:name w:val="annotation reference"/>
    <w:basedOn w:val="Fuentedeprrafopredeter"/>
    <w:uiPriority w:val="99"/>
    <w:semiHidden/>
    <w:unhideWhenUsed/>
    <w:rsid w:val="003E200F"/>
    <w:rPr>
      <w:sz w:val="16"/>
      <w:szCs w:val="16"/>
    </w:rPr>
  </w:style>
  <w:style w:type="paragraph" w:styleId="Textocomentario">
    <w:name w:val="annotation text"/>
    <w:basedOn w:val="Normal"/>
    <w:link w:val="TextocomentarioCar"/>
    <w:uiPriority w:val="99"/>
    <w:unhideWhenUsed/>
    <w:rsid w:val="003E200F"/>
    <w:rPr>
      <w:sz w:val="20"/>
      <w:szCs w:val="20"/>
    </w:rPr>
  </w:style>
  <w:style w:type="character" w:customStyle="1" w:styleId="TextocomentarioCar">
    <w:name w:val="Texto comentario Car"/>
    <w:basedOn w:val="Fuentedeprrafopredeter"/>
    <w:link w:val="Textocomentario"/>
    <w:uiPriority w:val="99"/>
    <w:rsid w:val="003E200F"/>
    <w:rPr>
      <w:sz w:val="20"/>
      <w:szCs w:val="20"/>
    </w:rPr>
  </w:style>
  <w:style w:type="paragraph" w:styleId="Asuntodelcomentario">
    <w:name w:val="annotation subject"/>
    <w:basedOn w:val="Textocomentario"/>
    <w:next w:val="Textocomentario"/>
    <w:link w:val="AsuntodelcomentarioCar"/>
    <w:uiPriority w:val="99"/>
    <w:semiHidden/>
    <w:unhideWhenUsed/>
    <w:rsid w:val="003E200F"/>
    <w:rPr>
      <w:b/>
      <w:bCs/>
    </w:rPr>
  </w:style>
  <w:style w:type="character" w:customStyle="1" w:styleId="AsuntodelcomentarioCar">
    <w:name w:val="Asunto del comentario Car"/>
    <w:basedOn w:val="TextocomentarioCar"/>
    <w:link w:val="Asuntodelcomentario"/>
    <w:uiPriority w:val="99"/>
    <w:semiHidden/>
    <w:rsid w:val="003E200F"/>
    <w:rPr>
      <w:b/>
      <w:bCs/>
      <w:sz w:val="20"/>
      <w:szCs w:val="20"/>
    </w:rPr>
  </w:style>
  <w:style w:type="paragraph" w:styleId="TtuloTDC">
    <w:name w:val="TOC Heading"/>
    <w:basedOn w:val="Ttulo1"/>
    <w:next w:val="Normal"/>
    <w:uiPriority w:val="39"/>
    <w:unhideWhenUsed/>
    <w:qFormat/>
    <w:rsid w:val="00F86410"/>
    <w:pPr>
      <w:keepNext/>
      <w:keepLines/>
      <w:widowControl/>
      <w:spacing w:before="240" w:line="259" w:lineRule="auto"/>
      <w:ind w:left="0"/>
      <w:outlineLvl w:val="9"/>
    </w:pPr>
    <w:rPr>
      <w:rFonts w:asciiTheme="majorHAnsi" w:eastAsiaTheme="majorEastAsia" w:hAnsiTheme="majorHAnsi" w:cstheme="majorBidi"/>
      <w:b w:val="0"/>
      <w:i w:val="0"/>
      <w:color w:val="365F91" w:themeColor="accent1" w:themeShade="BF"/>
      <w:sz w:val="32"/>
      <w:szCs w:val="32"/>
    </w:rPr>
  </w:style>
  <w:style w:type="paragraph" w:styleId="TDC1">
    <w:name w:val="toc 1"/>
    <w:basedOn w:val="Normal"/>
    <w:next w:val="Normal"/>
    <w:autoRedefine/>
    <w:uiPriority w:val="39"/>
    <w:unhideWhenUsed/>
    <w:rsid w:val="00F86410"/>
    <w:pPr>
      <w:spacing w:after="100"/>
    </w:pPr>
  </w:style>
  <w:style w:type="character" w:styleId="Hipervnculo">
    <w:name w:val="Hyperlink"/>
    <w:basedOn w:val="Fuentedeprrafopredeter"/>
    <w:uiPriority w:val="99"/>
    <w:unhideWhenUsed/>
    <w:rsid w:val="00F8641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12846883">
      <w:bodyDiv w:val="1"/>
      <w:marLeft w:val="0"/>
      <w:marRight w:val="0"/>
      <w:marTop w:val="0"/>
      <w:marBottom w:val="0"/>
      <w:divBdr>
        <w:top w:val="none" w:sz="0" w:space="0" w:color="auto"/>
        <w:left w:val="none" w:sz="0" w:space="0" w:color="auto"/>
        <w:bottom w:val="none" w:sz="0" w:space="0" w:color="auto"/>
        <w:right w:val="none" w:sz="0" w:space="0" w:color="auto"/>
      </w:divBdr>
      <w:divsChild>
        <w:div w:id="760024932">
          <w:marLeft w:val="0"/>
          <w:marRight w:val="0"/>
          <w:marTop w:val="0"/>
          <w:marBottom w:val="0"/>
          <w:divBdr>
            <w:top w:val="none" w:sz="0" w:space="0" w:color="auto"/>
            <w:left w:val="none" w:sz="0" w:space="0" w:color="auto"/>
            <w:bottom w:val="none" w:sz="0" w:space="0" w:color="auto"/>
            <w:right w:val="none" w:sz="0" w:space="0" w:color="auto"/>
          </w:divBdr>
        </w:div>
        <w:div w:id="2066946694">
          <w:marLeft w:val="0"/>
          <w:marRight w:val="0"/>
          <w:marTop w:val="0"/>
          <w:marBottom w:val="0"/>
          <w:divBdr>
            <w:top w:val="none" w:sz="0" w:space="0" w:color="auto"/>
            <w:left w:val="none" w:sz="0" w:space="0" w:color="auto"/>
            <w:bottom w:val="none" w:sz="0" w:space="0" w:color="auto"/>
            <w:right w:val="none" w:sz="0" w:space="0" w:color="auto"/>
          </w:divBdr>
        </w:div>
        <w:div w:id="310788698">
          <w:marLeft w:val="0"/>
          <w:marRight w:val="0"/>
          <w:marTop w:val="0"/>
          <w:marBottom w:val="0"/>
          <w:divBdr>
            <w:top w:val="none" w:sz="0" w:space="0" w:color="auto"/>
            <w:left w:val="none" w:sz="0" w:space="0" w:color="auto"/>
            <w:bottom w:val="none" w:sz="0" w:space="0" w:color="auto"/>
            <w:right w:val="none" w:sz="0" w:space="0" w:color="auto"/>
          </w:divBdr>
        </w:div>
      </w:divsChild>
    </w:div>
    <w:div w:id="935483135">
      <w:bodyDiv w:val="1"/>
      <w:marLeft w:val="0"/>
      <w:marRight w:val="0"/>
      <w:marTop w:val="0"/>
      <w:marBottom w:val="0"/>
      <w:divBdr>
        <w:top w:val="none" w:sz="0" w:space="0" w:color="auto"/>
        <w:left w:val="none" w:sz="0" w:space="0" w:color="auto"/>
        <w:bottom w:val="none" w:sz="0" w:space="0" w:color="auto"/>
        <w:right w:val="none" w:sz="0" w:space="0" w:color="auto"/>
      </w:divBdr>
    </w:div>
    <w:div w:id="16245302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E0A816-A46D-4CE0-A256-4CF9C6EC0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12</Pages>
  <Words>3187</Words>
  <Characters>17531</Characters>
  <Application>Microsoft Office Word</Application>
  <DocSecurity>0</DocSecurity>
  <Lines>146</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Luis Mora</dc:creator>
  <cp:lastModifiedBy>Unidad de Planificación</cp:lastModifiedBy>
  <cp:revision>16</cp:revision>
  <cp:lastPrinted>2024-03-25T17:43:00Z</cp:lastPrinted>
  <dcterms:created xsi:type="dcterms:W3CDTF">2024-03-20T21:27:00Z</dcterms:created>
  <dcterms:modified xsi:type="dcterms:W3CDTF">2024-03-25T17:45:00Z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9cc94494dc301f5c8711ffe353bff997fcfd96881106d0b820f522273c4c1776</vt:lpwstr>
  </property>
</Properties>
</file>