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590FD09C" w:rsidR="007167A8" w:rsidRPr="00F1520A" w:rsidRDefault="0000523B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Febrero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3B7DD2BC" w:rsidR="003109A9" w:rsidRPr="00F1520A" w:rsidRDefault="001A48F6" w:rsidP="0000523B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00523B">
              <w:rPr>
                <w:rFonts w:ascii="Calibri" w:hAnsi="Calibri" w:cs="Arial"/>
                <w:sz w:val="20"/>
              </w:rPr>
              <w:t>3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00523B">
              <w:rPr>
                <w:rFonts w:ascii="Calibri" w:hAnsi="Calibri" w:cs="Arial"/>
                <w:sz w:val="20"/>
              </w:rPr>
              <w:t>03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4EC2C604" w:rsidR="008F24E2" w:rsidRPr="00F1520A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1F141BF0"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1602A297"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915" w14:textId="7E281158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43F4BC5D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65866C23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1A09AA79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1AC00C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2AC043EC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04ABE028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605973C5"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21B688D6"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34DA5574"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0B2C513B"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1E975191"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16E06D60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031E" w14:textId="309DC481"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1A4" w14:textId="61D48276"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2E20F2E8"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31A0E90B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6709BB64"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2E9BCEF4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47145E40"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43A2E508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64F96C88"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76AC95C8" w14:textId="77777777"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BC8" w14:textId="3AD0C89A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07FAF131"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10D64AA9"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905" w14:textId="42E97264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4E925211"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4893CB18" w14:textId="07691FA2"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0301B3BF"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4FC591B2"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53448255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1B91F762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38C43EC1"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9027" w14:textId="77777777"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602730E" w14:textId="4AB1F3E6"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449D980D"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1B7133E9"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60E12CD6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3981FA9D"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4A782FF4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28D530F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5D3830CF"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32B849BB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0F54E1D0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1ECE7CDC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5361DAA7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298BC31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269C4D50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30BC5D9D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14:paraId="32F375AF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8B93893"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80EA1AD"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19E60884"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14:paraId="4001E33F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1CF00075"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14:paraId="582451D1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A5B984" w14:textId="0DC33E58"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14:paraId="1358EFC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54859989" w14:textId="62AC6A69"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2460097E" w14:textId="1BA73BD6"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6411E7D1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1B212E8D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1E63B803"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5ABFC9CC"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0D" w14:textId="54EB520E"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FA" w14:textId="341145C2"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0158F35" w14:textId="5BF19665" w:rsidR="00EC30F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14:paraId="5CCDBDA7" w14:textId="77777777" w:rsidR="008471CF" w:rsidRPr="00F1520A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3CD294EE"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5E237BA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6DFD33F5" w:rsidR="001E1A59" w:rsidRPr="00F1520A" w:rsidRDefault="00F64B0E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Febrero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429934C"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BD53A5B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5391A454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6929EE5F"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5E010BAE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2BDBA180" w14:textId="5C942C1A"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14:paraId="2BB1BC5E" w14:textId="77777777"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14:paraId="7CDE7D30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0BADD56"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5C044B22"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14:paraId="11375FE8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6E2A3F0E"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14:paraId="19534055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9DD" w14:textId="3CACAF38"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606EFB1C"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4BB37F24"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5FBAC65B" w14:textId="77777777"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79B38EFC" w14:textId="36C286D1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14:paraId="6D9C5FC1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5CFAE586" w:rsidR="00647FDA" w:rsidRPr="00F1520A" w:rsidRDefault="00235444" w:rsidP="00F1128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F1128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febrero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31587051" w:rsidR="00647FDA" w:rsidRPr="00F1520A" w:rsidRDefault="00647FDA" w:rsidP="00F64B0E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F64B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febrero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2E24B2" w:rsidRPr="00F1520A" w14:paraId="2C5E1735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65B7B026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11F26E75" w14:textId="5CBEBA25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0F" w14:textId="33E91457"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F5DA" w14:textId="5659313B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4CF92F1D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838CD5C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4152C65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2BE8E62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4B6CEE7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99DFA0E" w14:textId="56EBD66D"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14:paraId="693A5070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77777777" w:rsidR="00F1520A" w:rsidRDefault="00F1520A" w:rsidP="007702DC">
      <w:pPr>
        <w:ind w:left="-227" w:right="-57"/>
        <w:rPr>
          <w:sz w:val="18"/>
          <w:lang w:val="es-MX"/>
        </w:rPr>
      </w:pPr>
    </w:p>
    <w:p w14:paraId="4B6006EC" w14:textId="77777777" w:rsidR="00563ED7" w:rsidRPr="00BE73C3" w:rsidRDefault="00563ED7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E1D67E8"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4EA63ADD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1652DB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febrero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70785323" w:rsidR="00606418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247F" w14:textId="7029BA10" w:rsidR="00563ED7" w:rsidRPr="00F1520A" w:rsidRDefault="00563ED7" w:rsidP="00563ED7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1652DB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febrero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1CCD762A" w14:textId="77777777" w:rsidR="00563ED7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7DD104F5" w:rsidR="00563ED7" w:rsidRPr="00F1520A" w:rsidRDefault="00563ED7" w:rsidP="00563ED7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76D11A03" w:rsidR="00606418" w:rsidRPr="00F1520A" w:rsidRDefault="00606418" w:rsidP="006F147C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Georgina Esmeralda Abaj Xiloj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Samuel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>Hernández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21CF7AFC" w:rsidR="00606418" w:rsidRPr="00F1520A" w:rsidRDefault="00606418" w:rsidP="0025662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>Director</w:t>
            </w:r>
            <w:r w:rsidR="002E24B2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3EFB6B5E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35C7C45F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093604">
        <w:rPr>
          <w:i/>
          <w:lang w:val="es-MX"/>
        </w:rPr>
        <w:t>03</w:t>
      </w:r>
      <w:r w:rsidR="001A48F6" w:rsidRPr="00F1520A">
        <w:rPr>
          <w:i/>
          <w:lang w:val="es-MX"/>
        </w:rPr>
        <w:t xml:space="preserve"> de </w:t>
      </w:r>
      <w:r w:rsidR="00093604">
        <w:rPr>
          <w:i/>
          <w:lang w:val="es-MX"/>
        </w:rPr>
        <w:t>marzo</w:t>
      </w:r>
      <w:r w:rsidR="00B1229B">
        <w:rPr>
          <w:i/>
          <w:lang w:val="es-MX"/>
        </w:rPr>
        <w:t xml:space="preserve"> 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CC0B" w14:textId="77777777" w:rsidR="003B70C2" w:rsidRDefault="003B70C2">
      <w:r>
        <w:separator/>
      </w:r>
    </w:p>
  </w:endnote>
  <w:endnote w:type="continuationSeparator" w:id="0">
    <w:p w14:paraId="6011BA2C" w14:textId="77777777" w:rsidR="003B70C2" w:rsidRDefault="003B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CFF" w14:textId="77777777" w:rsidR="000972C4" w:rsidRDefault="000972C4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0972C4" w:rsidRDefault="000972C4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651" w14:textId="77777777" w:rsidR="000972C4" w:rsidRPr="00BD447E" w:rsidRDefault="000972C4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F11288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463A2BDD" w14:textId="77777777" w:rsidR="000972C4" w:rsidRPr="00C04183" w:rsidRDefault="000972C4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252B" w14:textId="77777777" w:rsidR="003B70C2" w:rsidRDefault="003B70C2">
      <w:r>
        <w:separator/>
      </w:r>
    </w:p>
  </w:footnote>
  <w:footnote w:type="continuationSeparator" w:id="0">
    <w:p w14:paraId="5DFBFE33" w14:textId="77777777" w:rsidR="003B70C2" w:rsidRDefault="003B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BED" w14:textId="057441CD" w:rsidR="000972C4" w:rsidRDefault="000972C4" w:rsidP="005E7E26">
    <w:pPr>
      <w:pStyle w:val="Encabezado"/>
    </w:pPr>
    <w:r>
      <w:t xml:space="preserve">                       </w:t>
    </w:r>
  </w:p>
  <w:p w14:paraId="6245DA3C" w14:textId="580D031A" w:rsidR="000972C4" w:rsidRPr="002B6A16" w:rsidRDefault="000972C4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0972C4" w:rsidRDefault="000972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0C2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5CE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1D21-13E5-460B-8B35-2C1E7BC3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10088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Sandra Méndez</cp:lastModifiedBy>
  <cp:revision>2</cp:revision>
  <cp:lastPrinted>2020-02-05T18:39:00Z</cp:lastPrinted>
  <dcterms:created xsi:type="dcterms:W3CDTF">2020-03-05T20:54:00Z</dcterms:created>
  <dcterms:modified xsi:type="dcterms:W3CDTF">2020-03-05T20:54:00Z</dcterms:modified>
</cp:coreProperties>
</file>