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53" w:rsidRPr="006D6E53" w:rsidRDefault="006D6E53" w:rsidP="006D6E53">
      <w:pPr>
        <w:tabs>
          <w:tab w:val="left" w:pos="2670"/>
          <w:tab w:val="center" w:pos="4419"/>
        </w:tabs>
        <w:contextualSpacing/>
        <w:rPr>
          <w:rFonts w:ascii="Book Antiqua" w:hAnsi="Book Antiqua" w:cs="Calibri"/>
          <w:b/>
          <w:sz w:val="24"/>
          <w:szCs w:val="24"/>
        </w:rPr>
      </w:pPr>
    </w:p>
    <w:p w:rsidR="006D6E53" w:rsidRPr="006D6E53" w:rsidRDefault="006D6E53" w:rsidP="006D6E53">
      <w:pPr>
        <w:tabs>
          <w:tab w:val="left" w:pos="2670"/>
          <w:tab w:val="center" w:pos="4419"/>
        </w:tabs>
        <w:contextualSpacing/>
        <w:jc w:val="center"/>
        <w:rPr>
          <w:rFonts w:ascii="Book Antiqua" w:hAnsi="Book Antiqua" w:cs="Calibri"/>
          <w:b/>
          <w:sz w:val="24"/>
          <w:szCs w:val="24"/>
        </w:rPr>
      </w:pPr>
    </w:p>
    <w:p w:rsidR="006D6E53" w:rsidRPr="006D6E53" w:rsidRDefault="006D6E53" w:rsidP="006D6E53">
      <w:pPr>
        <w:pStyle w:val="Sinespaciado"/>
        <w:jc w:val="right"/>
        <w:rPr>
          <w:rFonts w:ascii="Book Antiqua" w:hAnsi="Book Antiqua"/>
          <w:b/>
          <w:bCs/>
          <w:sz w:val="24"/>
          <w:szCs w:val="24"/>
        </w:rPr>
      </w:pPr>
      <w:r w:rsidRPr="006D6E53">
        <w:rPr>
          <w:rFonts w:ascii="Book Antiqua" w:hAnsi="Book Antiqua"/>
          <w:b/>
          <w:bCs/>
          <w:sz w:val="24"/>
          <w:szCs w:val="24"/>
        </w:rPr>
        <w:t>Ref. Oficio SEPREM–DA-060-2021</w:t>
      </w:r>
    </w:p>
    <w:p w:rsidR="006D6E53" w:rsidRPr="006D6E53" w:rsidRDefault="006D6E53" w:rsidP="006D6E53">
      <w:pPr>
        <w:pStyle w:val="Sinespaciado"/>
        <w:jc w:val="right"/>
        <w:rPr>
          <w:rFonts w:ascii="Book Antiqua" w:hAnsi="Book Antiqua"/>
          <w:sz w:val="24"/>
          <w:szCs w:val="24"/>
        </w:rPr>
      </w:pPr>
      <w:r w:rsidRPr="006D6E53">
        <w:rPr>
          <w:rFonts w:ascii="Book Antiqua" w:hAnsi="Book Antiqua"/>
          <w:sz w:val="24"/>
          <w:szCs w:val="24"/>
        </w:rPr>
        <w:t>Guatemala, 0</w:t>
      </w:r>
      <w:r w:rsidR="00161EA7">
        <w:rPr>
          <w:rFonts w:ascii="Book Antiqua" w:hAnsi="Book Antiqua"/>
          <w:sz w:val="24"/>
          <w:szCs w:val="24"/>
        </w:rPr>
        <w:t>8</w:t>
      </w:r>
      <w:bookmarkStart w:id="0" w:name="_GoBack"/>
      <w:bookmarkEnd w:id="0"/>
      <w:r w:rsidRPr="006D6E53">
        <w:rPr>
          <w:rFonts w:ascii="Book Antiqua" w:hAnsi="Book Antiqua"/>
          <w:sz w:val="24"/>
          <w:szCs w:val="24"/>
        </w:rPr>
        <w:t xml:space="preserve"> de abril de 2021</w:t>
      </w:r>
    </w:p>
    <w:p w:rsidR="006D6E53" w:rsidRPr="006D6E53" w:rsidRDefault="006D6E53" w:rsidP="006D6E53">
      <w:pPr>
        <w:jc w:val="both"/>
        <w:rPr>
          <w:rFonts w:ascii="Book Antiqua" w:hAnsi="Book Antiqua"/>
          <w:b/>
          <w:sz w:val="24"/>
          <w:szCs w:val="24"/>
        </w:rPr>
      </w:pPr>
    </w:p>
    <w:p w:rsidR="006D6E53" w:rsidRPr="006D6E53" w:rsidRDefault="006D6E53" w:rsidP="006D6E53">
      <w:pPr>
        <w:jc w:val="both"/>
        <w:rPr>
          <w:rFonts w:ascii="Book Antiqua" w:hAnsi="Book Antiqua"/>
          <w:b/>
          <w:sz w:val="24"/>
          <w:szCs w:val="24"/>
        </w:rPr>
      </w:pPr>
    </w:p>
    <w:p w:rsidR="006D6E53" w:rsidRPr="006D6E53" w:rsidRDefault="006D6E53" w:rsidP="006D6E53">
      <w:pPr>
        <w:pStyle w:val="Sinespaciado"/>
        <w:rPr>
          <w:rFonts w:ascii="Book Antiqua" w:hAnsi="Book Antiqua"/>
          <w:b/>
          <w:bCs/>
          <w:sz w:val="24"/>
          <w:szCs w:val="24"/>
        </w:rPr>
      </w:pPr>
      <w:r w:rsidRPr="006D6E53">
        <w:rPr>
          <w:rFonts w:ascii="Book Antiqua" w:hAnsi="Book Antiqua"/>
          <w:b/>
          <w:bCs/>
          <w:sz w:val="24"/>
          <w:szCs w:val="24"/>
        </w:rPr>
        <w:t>Señora</w:t>
      </w:r>
    </w:p>
    <w:p w:rsidR="006D6E53" w:rsidRPr="006D6E53" w:rsidRDefault="006D6E53" w:rsidP="006D6E53">
      <w:pPr>
        <w:pStyle w:val="Sinespaciado"/>
        <w:rPr>
          <w:rFonts w:ascii="Book Antiqua" w:hAnsi="Book Antiqua" w:cs="Arial"/>
          <w:b/>
          <w:bCs/>
          <w:sz w:val="24"/>
          <w:szCs w:val="24"/>
        </w:rPr>
      </w:pPr>
      <w:r w:rsidRPr="006D6E53">
        <w:rPr>
          <w:rFonts w:ascii="Book Antiqua" w:hAnsi="Book Antiqua" w:cs="Arial"/>
          <w:b/>
          <w:bCs/>
          <w:sz w:val="24"/>
          <w:szCs w:val="24"/>
        </w:rPr>
        <w:t>Sandra Méndez</w:t>
      </w:r>
    </w:p>
    <w:p w:rsidR="006D6E53" w:rsidRPr="006D6E53" w:rsidRDefault="006D6E53" w:rsidP="006D6E53">
      <w:pPr>
        <w:pStyle w:val="Sinespaciado"/>
        <w:rPr>
          <w:rFonts w:ascii="Book Antiqua" w:hAnsi="Book Antiqua" w:cs="Arial"/>
          <w:b/>
          <w:bCs/>
          <w:sz w:val="24"/>
          <w:szCs w:val="24"/>
        </w:rPr>
      </w:pPr>
      <w:r w:rsidRPr="006D6E53">
        <w:rPr>
          <w:rFonts w:ascii="Book Antiqua" w:hAnsi="Book Antiqua" w:cs="Arial"/>
          <w:b/>
          <w:bCs/>
          <w:sz w:val="24"/>
          <w:szCs w:val="24"/>
        </w:rPr>
        <w:t>Suplente de la Unidad Información Pública</w:t>
      </w:r>
    </w:p>
    <w:p w:rsidR="006D6E53" w:rsidRPr="006D6E53" w:rsidRDefault="006D6E53" w:rsidP="006D6E53">
      <w:pPr>
        <w:jc w:val="both"/>
        <w:rPr>
          <w:rFonts w:ascii="Book Antiqua" w:hAnsi="Book Antiqua" w:cs="Arial"/>
          <w:sz w:val="24"/>
          <w:szCs w:val="24"/>
        </w:rPr>
      </w:pPr>
    </w:p>
    <w:p w:rsidR="006D6E53" w:rsidRPr="006D6E53" w:rsidRDefault="006D6E53" w:rsidP="006D6E53">
      <w:pPr>
        <w:jc w:val="both"/>
        <w:rPr>
          <w:rFonts w:ascii="Book Antiqua" w:hAnsi="Book Antiqua" w:cs="Arial"/>
          <w:sz w:val="24"/>
          <w:szCs w:val="24"/>
        </w:rPr>
      </w:pPr>
      <w:r w:rsidRPr="006D6E53">
        <w:rPr>
          <w:rFonts w:ascii="Book Antiqua" w:hAnsi="Book Antiqua" w:cs="Arial"/>
          <w:sz w:val="24"/>
          <w:szCs w:val="24"/>
        </w:rPr>
        <w:t>En cumplimiento a la Ley del acceso a la Información Pública Decreto 57-2008, se adjunta física y electrónica la información de ejecución con base en el artículo 10 de la Ley en mención, correspondiente al mes de marzo 2021 de la Dirección Administrativa, específicamente los numerales que se citan a continuación.</w:t>
      </w:r>
    </w:p>
    <w:p w:rsidR="006D6E53" w:rsidRDefault="006D6E53" w:rsidP="006D6E53">
      <w:pPr>
        <w:jc w:val="both"/>
        <w:rPr>
          <w:rFonts w:ascii="Book Antiqua" w:hAnsi="Book Antiqua" w:cs="Arial"/>
          <w:sz w:val="24"/>
          <w:szCs w:val="24"/>
        </w:rPr>
      </w:pPr>
      <w:r w:rsidRPr="006D6E53">
        <w:rPr>
          <w:rFonts w:ascii="Book Antiqua" w:hAnsi="Book Antiqua" w:cs="Arial"/>
          <w:sz w:val="24"/>
          <w:szCs w:val="24"/>
        </w:rPr>
        <w:t>Asimismo, lo que establece el Artículo 17 TER Literal d) del Decreto No. 101-97 e Informe Mensual que corresponde a las Medidas de Eficiencia y Calidad del Gasto del mes de marzo 2021.</w:t>
      </w:r>
    </w:p>
    <w:p w:rsidR="006D6E53" w:rsidRPr="006D6E53" w:rsidRDefault="006D6E53" w:rsidP="006D6E53">
      <w:pPr>
        <w:jc w:val="both"/>
        <w:rPr>
          <w:rFonts w:ascii="Book Antiqua" w:hAnsi="Book Antiqua" w:cs="Arial"/>
          <w:sz w:val="24"/>
          <w:szCs w:val="24"/>
        </w:rPr>
      </w:pPr>
    </w:p>
    <w:p w:rsidR="006D6E53" w:rsidRPr="006D6E53" w:rsidRDefault="006D6E53" w:rsidP="006D6E53">
      <w:pPr>
        <w:jc w:val="both"/>
        <w:rPr>
          <w:rFonts w:ascii="Book Antiqua" w:hAnsi="Book Antiqua" w:cs="Arial"/>
          <w:b/>
          <w:sz w:val="24"/>
          <w:szCs w:val="24"/>
          <w:u w:val="single"/>
        </w:rPr>
      </w:pPr>
      <w:r w:rsidRPr="006D6E53">
        <w:rPr>
          <w:rFonts w:ascii="Book Antiqua" w:hAnsi="Book Antiqua" w:cs="Arial"/>
          <w:b/>
          <w:sz w:val="24"/>
          <w:szCs w:val="24"/>
          <w:u w:val="single"/>
        </w:rPr>
        <w:t>Artículo 10, Decreto 57-2008</w:t>
      </w: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2.  Dirección y teléfonos de la entidad y todas las dependencias que la conforman, folio 1.</w:t>
      </w:r>
    </w:p>
    <w:p w:rsidR="006D6E53" w:rsidRPr="006D6E53" w:rsidRDefault="006D6E53" w:rsidP="006D6E53">
      <w:pPr>
        <w:pStyle w:val="Prrafodelista"/>
        <w:tabs>
          <w:tab w:val="left" w:pos="6840"/>
        </w:tabs>
        <w:jc w:val="both"/>
        <w:rPr>
          <w:rFonts w:ascii="Book Antiqua" w:hAnsi="Book Antiqua" w:cs="Arial"/>
          <w:sz w:val="24"/>
          <w:szCs w:val="24"/>
        </w:rPr>
      </w:pPr>
      <w:r w:rsidRPr="006D6E53">
        <w:rPr>
          <w:rFonts w:ascii="Book Antiqua" w:hAnsi="Book Antiqua" w:cs="Arial"/>
          <w:sz w:val="24"/>
          <w:szCs w:val="24"/>
        </w:rPr>
        <w:tab/>
      </w: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2. Dirección y teléfonos de las oficinas departamentales, folios 2.</w:t>
      </w:r>
    </w:p>
    <w:p w:rsidR="006D6E53" w:rsidRPr="006D6E53" w:rsidRDefault="006D6E53" w:rsidP="006D6E53">
      <w:pPr>
        <w:pStyle w:val="Prrafodelista"/>
        <w:tabs>
          <w:tab w:val="left" w:pos="6135"/>
        </w:tabs>
        <w:jc w:val="both"/>
        <w:rPr>
          <w:rFonts w:ascii="Book Antiqua" w:hAnsi="Book Antiqua" w:cs="Arial"/>
          <w:sz w:val="24"/>
          <w:szCs w:val="24"/>
        </w:rPr>
      </w:pPr>
      <w:r w:rsidRPr="006D6E53">
        <w:rPr>
          <w:rFonts w:ascii="Book Antiqua" w:hAnsi="Book Antiqua" w:cs="Arial"/>
          <w:sz w:val="24"/>
          <w:szCs w:val="24"/>
        </w:rPr>
        <w:tab/>
      </w: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11. Contrataciones de bienes y servicios, Servicios Subgrupo 18 que son utilizados por los sujetos obligados, folio 3.</w:t>
      </w: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11 Información de procesos contrataciones: 1) Compras Directas con Oferta Electrónica; 2) Arrendamiento de Bienes Inmuebles; 3) Compra de Baja Cuantía; 4) Procedimientos Regulados (Casos de Excepción) 5) No Aplica a la Ley de Contrataciones; Adquisición Directa por Ausencia de Oferta (Art. 32 LCE) folio 4 al 23.</w:t>
      </w: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14. En el presente mes no se suscribieron Contratos de Mantenimientos, folio 24.</w:t>
      </w:r>
    </w:p>
    <w:p w:rsidR="006D6E53" w:rsidRPr="006D6E53" w:rsidRDefault="006D6E53" w:rsidP="006D6E53">
      <w:pPr>
        <w:pStyle w:val="Prrafodelista"/>
        <w:rPr>
          <w:rFonts w:ascii="Book Antiqua" w:hAnsi="Book Antiqua" w:cs="Arial"/>
          <w:sz w:val="24"/>
          <w:szCs w:val="24"/>
        </w:rPr>
      </w:pPr>
    </w:p>
    <w:p w:rsid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19. Contratos de arrendamientos de inmuebles, equipo, maquinaria o cualquier otro bien o servicio, folio 25 al 38.</w:t>
      </w: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pStyle w:val="Prrafodelista"/>
        <w:spacing w:after="0" w:line="240" w:lineRule="auto"/>
        <w:ind w:left="360"/>
        <w:jc w:val="both"/>
        <w:rPr>
          <w:rFonts w:ascii="Book Antiqua" w:hAnsi="Book Antiqua" w:cs="Arial"/>
          <w:sz w:val="24"/>
          <w:szCs w:val="24"/>
        </w:rPr>
      </w:pP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20.  Contrataciones a través de procesos de cotización y licitación y sus contratos respectivos, procesos de cotización, folio 39.</w:t>
      </w:r>
    </w:p>
    <w:p w:rsidR="006D6E53" w:rsidRPr="006D6E53" w:rsidRDefault="006D6E53" w:rsidP="006D6E53">
      <w:pPr>
        <w:pStyle w:val="Prrafodelista"/>
        <w:spacing w:after="0" w:line="240" w:lineRule="auto"/>
        <w:ind w:left="360"/>
        <w:jc w:val="both"/>
        <w:rPr>
          <w:rFonts w:ascii="Book Antiqua" w:hAnsi="Book Antiqua" w:cs="Arial"/>
          <w:sz w:val="24"/>
          <w:szCs w:val="24"/>
        </w:rPr>
      </w:pP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Numeral 22.  Compras Directas (Compras Directas pagados por cheque y por acreditamiento), folio 40.</w:t>
      </w: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jc w:val="both"/>
        <w:rPr>
          <w:rFonts w:ascii="Book Antiqua" w:hAnsi="Book Antiqua" w:cs="Arial"/>
          <w:b/>
          <w:sz w:val="24"/>
          <w:szCs w:val="24"/>
          <w:u w:val="single"/>
        </w:rPr>
      </w:pPr>
      <w:r w:rsidRPr="006D6E53">
        <w:rPr>
          <w:rFonts w:ascii="Book Antiqua" w:hAnsi="Book Antiqua" w:cs="Arial"/>
          <w:b/>
          <w:sz w:val="24"/>
          <w:szCs w:val="24"/>
          <w:u w:val="single"/>
        </w:rPr>
        <w:t>Artículo 17 TER literal d) Decreto 101-97</w:t>
      </w: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Programación de arrendamientos de Edificios del folio 41.</w:t>
      </w:r>
    </w:p>
    <w:p w:rsidR="006D6E53" w:rsidRPr="006D6E53" w:rsidRDefault="006D6E53" w:rsidP="006D6E53">
      <w:pPr>
        <w:pStyle w:val="Prrafodelista"/>
        <w:spacing w:after="0" w:line="240" w:lineRule="auto"/>
        <w:ind w:left="360"/>
        <w:jc w:val="both"/>
        <w:rPr>
          <w:rFonts w:ascii="Book Antiqua" w:hAnsi="Book Antiqua" w:cs="Arial"/>
          <w:sz w:val="24"/>
          <w:szCs w:val="24"/>
        </w:rPr>
      </w:pPr>
    </w:p>
    <w:p w:rsidR="006D6E53" w:rsidRPr="006D6E53" w:rsidRDefault="006D6E53" w:rsidP="006D6E53">
      <w:pPr>
        <w:jc w:val="both"/>
        <w:rPr>
          <w:rFonts w:ascii="Book Antiqua" w:hAnsi="Book Antiqua" w:cs="Arial"/>
          <w:sz w:val="24"/>
          <w:szCs w:val="24"/>
        </w:rPr>
      </w:pPr>
    </w:p>
    <w:p w:rsidR="006D6E53" w:rsidRPr="006D6E53" w:rsidRDefault="006D6E53" w:rsidP="006D6E53">
      <w:pPr>
        <w:jc w:val="both"/>
        <w:rPr>
          <w:rFonts w:ascii="Book Antiqua" w:hAnsi="Book Antiqua" w:cs="Arial"/>
          <w:b/>
          <w:sz w:val="24"/>
          <w:szCs w:val="24"/>
          <w:u w:val="single"/>
        </w:rPr>
      </w:pPr>
      <w:r w:rsidRPr="006D6E53">
        <w:rPr>
          <w:rFonts w:ascii="Book Antiqua" w:hAnsi="Book Antiqua" w:cs="Arial"/>
          <w:b/>
          <w:sz w:val="24"/>
          <w:szCs w:val="24"/>
          <w:u w:val="single"/>
        </w:rPr>
        <w:t>Medidas de Eficiencia y Calidad del Gasto</w:t>
      </w:r>
    </w:p>
    <w:p w:rsidR="006D6E53" w:rsidRPr="006D6E53" w:rsidRDefault="006D6E53" w:rsidP="006D6E53">
      <w:pPr>
        <w:pStyle w:val="Prrafodelista"/>
        <w:rPr>
          <w:rFonts w:ascii="Book Antiqua" w:hAnsi="Book Antiqua" w:cs="Arial"/>
          <w:sz w:val="24"/>
          <w:szCs w:val="24"/>
        </w:rPr>
      </w:pPr>
    </w:p>
    <w:p w:rsidR="006D6E53" w:rsidRPr="006D6E53" w:rsidRDefault="006D6E53" w:rsidP="006D6E53">
      <w:pPr>
        <w:pStyle w:val="Prrafodelista"/>
        <w:numPr>
          <w:ilvl w:val="0"/>
          <w:numId w:val="1"/>
        </w:numPr>
        <w:spacing w:after="0" w:line="240" w:lineRule="auto"/>
        <w:jc w:val="both"/>
        <w:rPr>
          <w:rFonts w:ascii="Book Antiqua" w:hAnsi="Book Antiqua" w:cs="Arial"/>
          <w:sz w:val="24"/>
          <w:szCs w:val="24"/>
        </w:rPr>
      </w:pPr>
      <w:r w:rsidRPr="006D6E53">
        <w:rPr>
          <w:rFonts w:ascii="Book Antiqua" w:hAnsi="Book Antiqua" w:cs="Arial"/>
          <w:sz w:val="24"/>
          <w:szCs w:val="24"/>
        </w:rPr>
        <w:t>Informe mensual, folio del 42 al 44.</w:t>
      </w:r>
    </w:p>
    <w:p w:rsidR="006D6E53" w:rsidRPr="006D6E53" w:rsidRDefault="006D6E53" w:rsidP="006D6E53">
      <w:pPr>
        <w:tabs>
          <w:tab w:val="left" w:pos="2565"/>
          <w:tab w:val="left" w:pos="3075"/>
        </w:tabs>
        <w:jc w:val="both"/>
        <w:rPr>
          <w:rFonts w:ascii="Book Antiqua" w:hAnsi="Book Antiqua" w:cs="Arial"/>
          <w:sz w:val="24"/>
          <w:szCs w:val="24"/>
        </w:rPr>
      </w:pPr>
    </w:p>
    <w:p w:rsidR="006D6E53" w:rsidRPr="006D6E53" w:rsidRDefault="006D6E53" w:rsidP="006D6E53">
      <w:pPr>
        <w:tabs>
          <w:tab w:val="left" w:pos="2565"/>
          <w:tab w:val="left" w:pos="3075"/>
        </w:tabs>
        <w:jc w:val="both"/>
        <w:rPr>
          <w:rFonts w:ascii="Book Antiqua" w:hAnsi="Book Antiqua" w:cs="Arial"/>
          <w:sz w:val="24"/>
          <w:szCs w:val="24"/>
        </w:rPr>
      </w:pPr>
    </w:p>
    <w:p w:rsidR="006D6E53" w:rsidRPr="006D6E53" w:rsidRDefault="006D6E53" w:rsidP="006D6E53">
      <w:pPr>
        <w:tabs>
          <w:tab w:val="left" w:pos="4755"/>
        </w:tabs>
        <w:rPr>
          <w:rFonts w:ascii="Book Antiqua" w:hAnsi="Book Antiqua" w:cs="Arial"/>
          <w:sz w:val="24"/>
          <w:szCs w:val="24"/>
        </w:rPr>
      </w:pPr>
      <w:r w:rsidRPr="006D6E53">
        <w:rPr>
          <w:rFonts w:ascii="Book Antiqua" w:hAnsi="Book Antiqua" w:cs="Arial"/>
          <w:sz w:val="24"/>
          <w:szCs w:val="24"/>
        </w:rPr>
        <w:t xml:space="preserve">Atentamente,                                                                                                                                                                                                                                                                                                                                                                                                                                                                                                                                                                                                                                                                                                                                                                                                                                                                                                                                                                                                                                                                                                                                                                                                                                                                                                                                                                                                                                                                                                                                                                                                                                                                                   </w:t>
      </w:r>
    </w:p>
    <w:p w:rsidR="006D6E53" w:rsidRPr="006D6E53" w:rsidRDefault="006D6E53" w:rsidP="006D6E53">
      <w:pPr>
        <w:ind w:firstLine="720"/>
        <w:jc w:val="right"/>
        <w:rPr>
          <w:rFonts w:ascii="Book Antiqua" w:hAnsi="Book Antiqua" w:cs="Arial"/>
          <w:sz w:val="24"/>
          <w:szCs w:val="24"/>
        </w:rPr>
      </w:pPr>
      <w:r w:rsidRPr="006D6E53">
        <w:rPr>
          <w:rFonts w:ascii="Book Antiqua" w:hAnsi="Book Antiqua" w:cs="Arial"/>
          <w:sz w:val="24"/>
          <w:szCs w:val="24"/>
        </w:rPr>
        <w:t xml:space="preserve">                                                           </w:t>
      </w:r>
      <w:r w:rsidRPr="006D6E53">
        <w:rPr>
          <w:rFonts w:ascii="Book Antiqua" w:hAnsi="Book Antiqua" w:cs="Arial"/>
          <w:sz w:val="24"/>
          <w:szCs w:val="24"/>
        </w:rPr>
        <w:tab/>
      </w:r>
      <w:r w:rsidRPr="006D6E53">
        <w:rPr>
          <w:rFonts w:ascii="Book Antiqua" w:hAnsi="Book Antiqua" w:cs="Arial"/>
          <w:sz w:val="24"/>
          <w:szCs w:val="24"/>
        </w:rPr>
        <w:tab/>
      </w:r>
    </w:p>
    <w:p w:rsidR="006D6E53" w:rsidRPr="006D6E53" w:rsidRDefault="006D6E53" w:rsidP="006D6E53">
      <w:pPr>
        <w:ind w:firstLine="720"/>
        <w:jc w:val="right"/>
        <w:rPr>
          <w:rFonts w:ascii="Book Antiqua" w:hAnsi="Book Antiqua"/>
          <w:noProof/>
          <w:sz w:val="24"/>
          <w:szCs w:val="24"/>
          <w:lang w:eastAsia="es-GT"/>
        </w:rPr>
      </w:pPr>
    </w:p>
    <w:p w:rsidR="006D6E53" w:rsidRPr="006D6E53" w:rsidRDefault="006D6E53" w:rsidP="006D6E53">
      <w:pPr>
        <w:ind w:firstLine="720"/>
        <w:jc w:val="right"/>
        <w:rPr>
          <w:rFonts w:ascii="Book Antiqua" w:hAnsi="Book Antiqua" w:cs="Arial"/>
          <w:sz w:val="24"/>
          <w:szCs w:val="24"/>
        </w:rPr>
      </w:pPr>
    </w:p>
    <w:p w:rsidR="006D6E53" w:rsidRPr="006D6E53" w:rsidRDefault="006D6E53" w:rsidP="006D6E53">
      <w:pPr>
        <w:ind w:left="2820" w:firstLine="720"/>
        <w:jc w:val="right"/>
        <w:rPr>
          <w:rFonts w:ascii="Book Antiqua" w:hAnsi="Book Antiqua" w:cs="Arial"/>
          <w:sz w:val="24"/>
          <w:szCs w:val="24"/>
        </w:rPr>
      </w:pPr>
    </w:p>
    <w:p w:rsidR="006D6E53" w:rsidRPr="006D6E53" w:rsidRDefault="006D6E53" w:rsidP="006D6E53">
      <w:pPr>
        <w:rPr>
          <w:rFonts w:ascii="Book Antiqua" w:hAnsi="Book Antiqua"/>
          <w:sz w:val="24"/>
          <w:szCs w:val="24"/>
        </w:rPr>
      </w:pPr>
    </w:p>
    <w:p w:rsidR="006D6E53" w:rsidRDefault="006D6E53" w:rsidP="006D6E53">
      <w:pPr>
        <w:rPr>
          <w:rFonts w:ascii="Book Antiqua" w:hAnsi="Book Antiqua"/>
          <w:sz w:val="24"/>
          <w:szCs w:val="24"/>
        </w:rPr>
      </w:pPr>
    </w:p>
    <w:p w:rsidR="006D6E53" w:rsidRDefault="006D6E53" w:rsidP="006D6E53">
      <w:pPr>
        <w:rPr>
          <w:rFonts w:ascii="Book Antiqua" w:hAnsi="Book Antiqua"/>
          <w:sz w:val="24"/>
          <w:szCs w:val="24"/>
        </w:rPr>
      </w:pPr>
    </w:p>
    <w:p w:rsidR="006D6E53" w:rsidRPr="006D6E53" w:rsidRDefault="006D6E53" w:rsidP="006D6E53">
      <w:pPr>
        <w:rPr>
          <w:rFonts w:ascii="Book Antiqua" w:hAnsi="Book Antiqua"/>
          <w:sz w:val="24"/>
          <w:szCs w:val="24"/>
        </w:rPr>
      </w:pPr>
    </w:p>
    <w:p w:rsidR="006D6E53" w:rsidRPr="006D6E53" w:rsidRDefault="006D6E53" w:rsidP="006D6E53">
      <w:pPr>
        <w:rPr>
          <w:rFonts w:ascii="Book Antiqua" w:hAnsi="Book Antiqua"/>
          <w:sz w:val="24"/>
          <w:szCs w:val="24"/>
        </w:rPr>
      </w:pPr>
    </w:p>
    <w:p w:rsidR="006D6E53" w:rsidRPr="006D6E53" w:rsidRDefault="006D6E53" w:rsidP="006D6E53">
      <w:pPr>
        <w:rPr>
          <w:rFonts w:ascii="Book Antiqua" w:hAnsi="Book Antiqua"/>
          <w:sz w:val="24"/>
          <w:szCs w:val="24"/>
        </w:rPr>
      </w:pPr>
    </w:p>
    <w:p w:rsidR="006D6E53" w:rsidRPr="006D6E53" w:rsidRDefault="006D6E53" w:rsidP="006D6E53">
      <w:pPr>
        <w:pStyle w:val="Sinespaciado"/>
        <w:rPr>
          <w:rFonts w:ascii="Book Antiqua" w:hAnsi="Book Antiqua"/>
          <w:sz w:val="16"/>
          <w:szCs w:val="16"/>
        </w:rPr>
      </w:pPr>
      <w:r w:rsidRPr="006D6E53">
        <w:rPr>
          <w:rFonts w:ascii="Book Antiqua" w:hAnsi="Book Antiqua"/>
          <w:sz w:val="16"/>
          <w:szCs w:val="16"/>
        </w:rPr>
        <w:t>Departamento de Compras y Adquisiciones</w:t>
      </w:r>
    </w:p>
    <w:p w:rsidR="006D6E53" w:rsidRPr="006D6E53" w:rsidRDefault="006D6E53" w:rsidP="006D6E53">
      <w:pPr>
        <w:pStyle w:val="Sinespaciado"/>
        <w:rPr>
          <w:rFonts w:ascii="Book Antiqua" w:hAnsi="Book Antiqua"/>
          <w:sz w:val="16"/>
          <w:szCs w:val="16"/>
        </w:rPr>
      </w:pPr>
      <w:r w:rsidRPr="006D6E53">
        <w:rPr>
          <w:rFonts w:ascii="Book Antiqua" w:hAnsi="Book Antiqua"/>
          <w:sz w:val="16"/>
          <w:szCs w:val="16"/>
        </w:rPr>
        <w:t>C.C.: Archivo</w:t>
      </w:r>
    </w:p>
    <w:p w:rsidR="006D6E53" w:rsidRPr="006D6E53" w:rsidRDefault="006D6E53" w:rsidP="006D6E53">
      <w:pPr>
        <w:pStyle w:val="Sinespaciado"/>
        <w:rPr>
          <w:rFonts w:ascii="Book Antiqua" w:hAnsi="Book Antiqua" w:cs="Calibri"/>
          <w:b/>
          <w:sz w:val="16"/>
          <w:szCs w:val="16"/>
        </w:rPr>
      </w:pPr>
      <w:r w:rsidRPr="006D6E53">
        <w:rPr>
          <w:rFonts w:ascii="Book Antiqua" w:hAnsi="Book Antiqua"/>
          <w:b/>
          <w:i/>
          <w:sz w:val="16"/>
          <w:szCs w:val="16"/>
        </w:rPr>
        <w:t>Anexo: 44  folios</w:t>
      </w:r>
    </w:p>
    <w:sectPr w:rsidR="006D6E53" w:rsidRPr="006D6E5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1EA7">
      <w:pPr>
        <w:spacing w:after="0" w:line="240" w:lineRule="auto"/>
      </w:pPr>
      <w:r>
        <w:separator/>
      </w:r>
    </w:p>
  </w:endnote>
  <w:endnote w:type="continuationSeparator" w:id="0">
    <w:p w:rsidR="00000000" w:rsidRDefault="001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CD" w:rsidRDefault="00161E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CD" w:rsidRDefault="00161E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CD" w:rsidRDefault="00161E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1EA7">
      <w:pPr>
        <w:spacing w:after="0" w:line="240" w:lineRule="auto"/>
      </w:pPr>
      <w:r>
        <w:separator/>
      </w:r>
    </w:p>
  </w:footnote>
  <w:footnote w:type="continuationSeparator" w:id="0">
    <w:p w:rsidR="00000000" w:rsidRDefault="0016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CD" w:rsidRDefault="00161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090439" o:spid="_x0000_s1025" type="#_x0000_t75" style="position:absolute;margin-left:0;margin-top:0;width:673.2pt;height:871.2pt;z-index:-251659776;mso-position-horizontal:center;mso-position-horizontal-relative:margin;mso-position-vertical:center;mso-position-vertical-relative:margin" o:allowincell="f">
          <v:imagedata r:id="rId1" o:title="Hoja Membretada BICENTENARIO CARTA-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CD" w:rsidRDefault="00161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090440" o:spid="_x0000_s1026" type="#_x0000_t75" style="position:absolute;margin-left:0;margin-top:0;width:673.2pt;height:871.2pt;z-index:-251658752;mso-position-horizontal:center;mso-position-horizontal-relative:margin;mso-position-vertical:center;mso-position-vertical-relative:margin" o:allowincell="f">
          <v:imagedata r:id="rId1" o:title="Hoja Membretada BICENTENARIO CARTA-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CD" w:rsidRDefault="00161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090438" o:spid="_x0000_s1027" type="#_x0000_t75" style="position:absolute;margin-left:0;margin-top:0;width:673.2pt;height:871.2pt;z-index:-251657728;mso-position-horizontal:center;mso-position-horizontal-relative:margin;mso-position-vertical:center;mso-position-vertical-relative:margin" o:allowincell="f">
          <v:imagedata r:id="rId1" o:title="Hoja Membretada BICENTENARIO CARTA-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68FE"/>
    <w:multiLevelType w:val="hybridMultilevel"/>
    <w:tmpl w:val="D60C0E92"/>
    <w:lvl w:ilvl="0" w:tplc="5DCE3596">
      <w:start w:val="1"/>
      <w:numFmt w:val="decimal"/>
      <w:lvlText w:val="%1."/>
      <w:lvlJc w:val="left"/>
      <w:pPr>
        <w:ind w:left="360" w:hanging="360"/>
      </w:pPr>
      <w:rPr>
        <w:rFonts w:hint="default"/>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53"/>
    <w:rsid w:val="00161EA7"/>
    <w:rsid w:val="006D6E53"/>
    <w:rsid w:val="00C5568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9DF9"/>
  <w15:chartTrackingRefBased/>
  <w15:docId w15:val="{A4AB5642-8226-41DA-8E97-98264B5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53"/>
    <w:rPr>
      <w:rFonts w:ascii="Calibri" w:eastAsia="Calibri" w:hAnsi="Calibri" w:cs="Times New Roman"/>
      <w:lang w:val="es-ES"/>
    </w:rPr>
  </w:style>
  <w:style w:type="paragraph" w:styleId="Ttulo1">
    <w:name w:val="heading 1"/>
    <w:basedOn w:val="Normal"/>
    <w:next w:val="Normal"/>
    <w:link w:val="Ttulo1Car"/>
    <w:uiPriority w:val="9"/>
    <w:qFormat/>
    <w:rsid w:val="006D6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E53"/>
    <w:rPr>
      <w:rFonts w:ascii="Calibri" w:eastAsia="Calibri" w:hAnsi="Calibri" w:cs="Times New Roman"/>
      <w:lang w:val="es-ES"/>
    </w:rPr>
  </w:style>
  <w:style w:type="paragraph" w:styleId="Piedepgina">
    <w:name w:val="footer"/>
    <w:basedOn w:val="Normal"/>
    <w:link w:val="PiedepginaCar"/>
    <w:uiPriority w:val="99"/>
    <w:unhideWhenUsed/>
    <w:rsid w:val="006D6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6E53"/>
    <w:rPr>
      <w:rFonts w:ascii="Calibri" w:eastAsia="Calibri" w:hAnsi="Calibri" w:cs="Times New Roman"/>
      <w:lang w:val="es-ES"/>
    </w:rPr>
  </w:style>
  <w:style w:type="paragraph" w:styleId="Sinespaciado">
    <w:name w:val="No Spacing"/>
    <w:uiPriority w:val="1"/>
    <w:qFormat/>
    <w:rsid w:val="006D6E5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6D6E53"/>
    <w:pPr>
      <w:spacing w:after="200" w:line="276" w:lineRule="auto"/>
      <w:ind w:left="720"/>
      <w:contextualSpacing/>
    </w:pPr>
    <w:rPr>
      <w:lang w:val="es-GT"/>
    </w:rPr>
  </w:style>
  <w:style w:type="character" w:customStyle="1" w:styleId="Ttulo1Car">
    <w:name w:val="Título 1 Car"/>
    <w:basedOn w:val="Fuentedeprrafopredeter"/>
    <w:link w:val="Ttulo1"/>
    <w:uiPriority w:val="9"/>
    <w:rsid w:val="006D6E53"/>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3138</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Hortencia Margarita Diaz Alvarez</dc:creator>
  <cp:keywords/>
  <dc:description/>
  <cp:lastModifiedBy>Hortencia Margarita Diaz Alvarez</cp:lastModifiedBy>
  <cp:revision>2</cp:revision>
  <cp:lastPrinted>2021-04-07T15:27:00Z</cp:lastPrinted>
  <dcterms:created xsi:type="dcterms:W3CDTF">2021-04-07T15:24:00Z</dcterms:created>
  <dcterms:modified xsi:type="dcterms:W3CDTF">2021-04-08T14:39:00Z</dcterms:modified>
</cp:coreProperties>
</file>