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Guatemala, 04 de enero de 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Elaborado por: Licda. Lubia Bran de Mora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Auditorías realizadas en el año 2020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Decreto No.57-2008, Artículo 10 Numeral 23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Unidad de Auditoría Interna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AUDITORÍAS FINALIZADAS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AÑO 2020</w:t>
      </w:r>
      <w:r w:rsidDel="00000000" w:rsidR="00000000" w:rsidRPr="00000000">
        <w:rPr>
          <w:rtl w:val="0"/>
        </w:rPr>
      </w:r>
    </w:p>
    <w:tbl>
      <w:tblPr>
        <w:tblStyle w:val="Table1"/>
        <w:tblW w:w="86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1108"/>
        <w:gridCol w:w="6513"/>
        <w:tblGridChange w:id="0">
          <w:tblGrid>
            <w:gridCol w:w="987"/>
            <w:gridCol w:w="1108"/>
            <w:gridCol w:w="6513"/>
          </w:tblGrid>
        </w:tblGridChange>
      </w:tblGrid>
      <w:tr>
        <w:trPr>
          <w:trHeight w:val="3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CUA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Área</w:t>
            </w:r>
          </w:p>
        </w:tc>
      </w:tr>
      <w:tr>
        <w:trPr>
          <w:trHeight w:val="4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Cumplimiento a la Unidad de Información Pública</w:t>
            </w:r>
          </w:p>
        </w:tc>
      </w:tr>
      <w:tr>
        <w:trPr>
          <w:trHeight w:val="33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Cumplimiento a la Dirección de Recursos Humanos</w:t>
            </w:r>
          </w:p>
        </w:tc>
      </w:tr>
      <w:tr>
        <w:trPr>
          <w:trHeight w:val="58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Financiera a la Dirección Financiera, Departamento de Presupuesto</w:t>
            </w:r>
          </w:p>
        </w:tc>
      </w:tr>
      <w:tr>
        <w:trPr>
          <w:trHeight w:val="58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 a la Dirección Financiera, Sección de Tesorería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 a la Dirección Administrativa, Secciones de Transporte y Almacén</w:t>
            </w:r>
          </w:p>
        </w:tc>
      </w:tr>
      <w:tr>
        <w:trPr>
          <w:trHeight w:val="6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Administrativas, Seguimiento e Implementación de Recomendaciones de la Contraloría General de Cuentas</w:t>
            </w:r>
          </w:p>
        </w:tc>
      </w:tr>
      <w:tr>
        <w:trPr>
          <w:trHeight w:val="39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 a la Unidad de Planificación</w:t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Cumplimiento a la Unidad de Gestión de la Cooperación</w:t>
            </w:r>
          </w:p>
        </w:tc>
      </w:tr>
      <w:tr>
        <w:trPr>
          <w:trHeight w:val="57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 a la Dirección Financiera, Sección de Tesorería</w:t>
            </w:r>
          </w:p>
        </w:tc>
      </w:tr>
      <w:tr>
        <w:trPr>
          <w:trHeight w:val="6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 Administrativas, Seguimiento e Implementación de Recomendaciones emitidas por Auditoría Interna</w:t>
            </w:r>
          </w:p>
        </w:tc>
      </w:tr>
      <w:tr>
        <w:trPr>
          <w:trHeight w:val="63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Financiera a la Dirección Financiera, Departamentos de Contabilidad y Presupuesto</w:t>
            </w:r>
          </w:p>
        </w:tc>
      </w:tr>
      <w:tr>
        <w:trPr>
          <w:trHeight w:val="52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99399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Actividades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Administrativas al Programa de Prevención y Erradicación de la Violencia Intrafamiliar.</w:t>
            </w:r>
          </w:p>
        </w:tc>
      </w:tr>
      <w:tr>
        <w:trPr>
          <w:trHeight w:val="6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89125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Auditoría de Cumplimiento a la Dirección Administrativa, Departamento de Compras y Adquisiciones</w:t>
            </w:r>
          </w:p>
        </w:tc>
      </w:tr>
    </w:tbl>
    <w:p w:rsidR="00000000" w:rsidDel="00000000" w:rsidP="00000000" w:rsidRDefault="00000000" w:rsidRPr="00000000" w14:paraId="0000003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Elaborado por: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Licda. Lubia Bran de Mora</w:t>
      </w:r>
    </w:p>
    <w:p w:rsidR="00000000" w:rsidDel="00000000" w:rsidP="00000000" w:rsidRDefault="00000000" w:rsidRPr="00000000" w14:paraId="00000038">
      <w:pPr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 xml:space="preserve">Asistente de Auditoría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Licda Adilma Llaneth Escobar de Rivera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ab/>
        <w:tab/>
        <w:tab/>
        <w:t xml:space="preserve">        Directora de Auditoría Interna</w:t>
        <w:tab/>
        <w:tab/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4a calle 7-37, zona 1 Guatemala – PBX: 2207-9400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www.seprem.gob.gt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G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